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699A1" w14:textId="1ABD5A50" w:rsidR="004D40F3" w:rsidRPr="004D40F3" w:rsidRDefault="004D40F3" w:rsidP="004D40F3">
      <w:pPr>
        <w:spacing w:after="0" w:line="276" w:lineRule="auto"/>
        <w:rPr>
          <w:rFonts w:ascii="Calibri" w:eastAsia="Times New Roman" w:hAnsi="Calibri" w:cs="Times New Roman"/>
          <w:sz w:val="25"/>
          <w:szCs w:val="25"/>
          <w:lang w:eastAsia="ru-RU"/>
        </w:rPr>
      </w:pPr>
      <w:r w:rsidRPr="004D40F3">
        <w:rPr>
          <w:rFonts w:ascii="Calibri" w:eastAsia="Times New Roman" w:hAnsi="Calibri" w:cs="Times New Roman"/>
          <w:sz w:val="25"/>
          <w:szCs w:val="25"/>
          <w:lang w:eastAsia="ru-RU"/>
        </w:rPr>
        <w:t xml:space="preserve">                                            </w:t>
      </w:r>
      <w:r w:rsidR="00527D61">
        <w:rPr>
          <w:rFonts w:ascii="Calibri" w:eastAsia="Times New Roman" w:hAnsi="Calibri" w:cs="Times New Roman"/>
          <w:sz w:val="25"/>
          <w:szCs w:val="25"/>
          <w:lang w:eastAsia="ru-RU"/>
        </w:rPr>
        <w:t xml:space="preserve"> </w:t>
      </w:r>
      <w:r w:rsidRPr="004D40F3">
        <w:rPr>
          <w:rFonts w:ascii="Calibri" w:eastAsia="Times New Roman" w:hAnsi="Calibri" w:cs="Times New Roman"/>
          <w:sz w:val="25"/>
          <w:szCs w:val="25"/>
          <w:lang w:eastAsia="ru-RU"/>
        </w:rPr>
        <w:t xml:space="preserve">                         </w:t>
      </w:r>
      <w:r w:rsidRPr="004D40F3">
        <w:rPr>
          <w:rFonts w:ascii="Calibri" w:eastAsia="Times New Roman" w:hAnsi="Calibri" w:cs="Times New Roman"/>
          <w:noProof/>
          <w:lang w:eastAsia="ru-RU"/>
        </w:rPr>
        <w:drawing>
          <wp:inline distT="0" distB="0" distL="0" distR="0" wp14:anchorId="0D979202" wp14:editId="0AC9032A">
            <wp:extent cx="714375" cy="8572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p w14:paraId="7120A79A" w14:textId="77777777" w:rsidR="004D40F3" w:rsidRPr="004D40F3" w:rsidRDefault="004D40F3" w:rsidP="004D40F3">
      <w:pPr>
        <w:keepNext/>
        <w:spacing w:after="120" w:line="240" w:lineRule="auto"/>
        <w:ind w:right="142"/>
        <w:jc w:val="center"/>
        <w:outlineLvl w:val="6"/>
        <w:rPr>
          <w:rFonts w:ascii="Times New Roman" w:eastAsia="Times New Roman" w:hAnsi="Times New Roman" w:cs="Times New Roman"/>
          <w:b/>
          <w:bCs/>
          <w:spacing w:val="80"/>
          <w:sz w:val="42"/>
          <w:szCs w:val="42"/>
          <w:lang w:eastAsia="ru-RU"/>
        </w:rPr>
      </w:pPr>
      <w:r w:rsidRPr="004D40F3">
        <w:rPr>
          <w:rFonts w:ascii="Times New Roman" w:eastAsia="Times New Roman" w:hAnsi="Times New Roman" w:cs="Times New Roman"/>
          <w:b/>
          <w:bCs/>
          <w:spacing w:val="80"/>
          <w:sz w:val="42"/>
          <w:szCs w:val="42"/>
          <w:lang w:eastAsia="ru-RU"/>
        </w:rPr>
        <w:t>РЕШЕНИЕ</w:t>
      </w:r>
    </w:p>
    <w:p w14:paraId="0F28B985" w14:textId="77777777" w:rsidR="004D40F3" w:rsidRPr="006F0FF8" w:rsidRDefault="004D40F3" w:rsidP="004D40F3">
      <w:pPr>
        <w:tabs>
          <w:tab w:val="left" w:pos="798"/>
          <w:tab w:val="left" w:pos="882"/>
          <w:tab w:val="left" w:pos="1918"/>
          <w:tab w:val="left" w:pos="3261"/>
          <w:tab w:val="left" w:pos="3969"/>
          <w:tab w:val="left" w:pos="6096"/>
        </w:tabs>
        <w:spacing w:after="0" w:line="240" w:lineRule="auto"/>
        <w:rPr>
          <w:rFonts w:ascii="Times New Roman" w:eastAsia="Times New Roman" w:hAnsi="Times New Roman" w:cs="Times New Roman"/>
          <w:sz w:val="25"/>
          <w:szCs w:val="25"/>
          <w:lang w:eastAsia="ru-RU"/>
        </w:rPr>
      </w:pPr>
    </w:p>
    <w:p w14:paraId="3EBF35A5" w14:textId="77777777" w:rsidR="00BA5FA4" w:rsidRDefault="00BA5FA4" w:rsidP="00BA5FA4">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5"/>
          <w:szCs w:val="25"/>
          <w:lang w:eastAsia="ru-RU"/>
        </w:rPr>
      </w:pPr>
      <w:r w:rsidRPr="006F0FF8">
        <w:rPr>
          <w:rFonts w:ascii="Times New Roman" w:eastAsia="Times New Roman" w:hAnsi="Times New Roman"/>
          <w:sz w:val="25"/>
          <w:szCs w:val="25"/>
          <w:lang w:eastAsia="ru-RU"/>
        </w:rPr>
        <w:t xml:space="preserve">О местном бюджете Невельского городского округа на 2022 год и </w:t>
      </w:r>
    </w:p>
    <w:p w14:paraId="2861EBB3" w14:textId="4879C8CB" w:rsidR="004D40F3" w:rsidRDefault="00BA5FA4" w:rsidP="00BA5FA4">
      <w:pPr>
        <w:tabs>
          <w:tab w:val="left" w:pos="798"/>
          <w:tab w:val="left" w:pos="882"/>
          <w:tab w:val="left" w:pos="1918"/>
          <w:tab w:val="left" w:pos="3261"/>
          <w:tab w:val="left" w:pos="3969"/>
          <w:tab w:val="left" w:pos="6096"/>
        </w:tabs>
        <w:spacing w:after="0" w:line="240" w:lineRule="auto"/>
        <w:jc w:val="center"/>
        <w:rPr>
          <w:rFonts w:ascii="Times New Roman" w:eastAsia="Times New Roman" w:hAnsi="Times New Roman"/>
          <w:sz w:val="25"/>
          <w:szCs w:val="25"/>
          <w:lang w:eastAsia="ru-RU"/>
        </w:rPr>
      </w:pPr>
      <w:r w:rsidRPr="006F0FF8">
        <w:rPr>
          <w:rFonts w:ascii="Times New Roman" w:eastAsia="Times New Roman" w:hAnsi="Times New Roman"/>
          <w:sz w:val="25"/>
          <w:szCs w:val="25"/>
          <w:lang w:eastAsia="ru-RU"/>
        </w:rPr>
        <w:t>на плановый период 2023 и 2024 годов.</w:t>
      </w:r>
    </w:p>
    <w:p w14:paraId="5FBF3DA6" w14:textId="77777777" w:rsidR="00BA5FA4" w:rsidRDefault="00BA5FA4" w:rsidP="004D40F3">
      <w:pPr>
        <w:tabs>
          <w:tab w:val="left" w:pos="798"/>
          <w:tab w:val="left" w:pos="882"/>
          <w:tab w:val="left" w:pos="1918"/>
          <w:tab w:val="left" w:pos="3261"/>
          <w:tab w:val="left" w:pos="3969"/>
          <w:tab w:val="left" w:pos="6096"/>
        </w:tabs>
        <w:spacing w:after="0" w:line="240" w:lineRule="auto"/>
        <w:rPr>
          <w:rFonts w:ascii="Times New Roman" w:eastAsia="Times New Roman" w:hAnsi="Times New Roman" w:cs="Times New Roman"/>
          <w:sz w:val="25"/>
          <w:szCs w:val="25"/>
          <w:lang w:eastAsia="ru-RU"/>
        </w:rPr>
      </w:pPr>
    </w:p>
    <w:p w14:paraId="274771D3" w14:textId="77777777" w:rsidR="00BA5FA4" w:rsidRPr="006F0FF8" w:rsidRDefault="00BA5FA4" w:rsidP="004D40F3">
      <w:pPr>
        <w:tabs>
          <w:tab w:val="left" w:pos="798"/>
          <w:tab w:val="left" w:pos="882"/>
          <w:tab w:val="left" w:pos="1918"/>
          <w:tab w:val="left" w:pos="3261"/>
          <w:tab w:val="left" w:pos="3969"/>
          <w:tab w:val="left" w:pos="6096"/>
        </w:tabs>
        <w:spacing w:after="0" w:line="240" w:lineRule="auto"/>
        <w:rPr>
          <w:rFonts w:ascii="Times New Roman" w:eastAsia="Times New Roman" w:hAnsi="Times New Roman" w:cs="Times New Roman"/>
          <w:sz w:val="25"/>
          <w:szCs w:val="25"/>
          <w:lang w:eastAsia="ru-RU"/>
        </w:rPr>
      </w:pPr>
    </w:p>
    <w:p w14:paraId="4F9BF756" w14:textId="221A635B" w:rsidR="004D40F3" w:rsidRPr="006F0FF8" w:rsidRDefault="00BA5FA4" w:rsidP="004D40F3">
      <w:pPr>
        <w:spacing w:after="0" w:line="240" w:lineRule="auto"/>
        <w:ind w:firstLine="708"/>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Принято Собранием Невельского городского округа в</w:t>
      </w:r>
      <w:r w:rsidR="004D40F3" w:rsidRPr="006F0FF8">
        <w:rPr>
          <w:rFonts w:ascii="Times New Roman" w:eastAsia="Times New Roman" w:hAnsi="Times New Roman" w:cs="Times New Roman"/>
          <w:sz w:val="25"/>
          <w:szCs w:val="25"/>
          <w:lang w:eastAsia="ru-RU"/>
        </w:rPr>
        <w:t xml:space="preserve"> соответствии со ст.16, 35 Федерального закона от 06.10.2003г. № 131-ФЗ (в ред. от </w:t>
      </w:r>
      <w:r w:rsidR="00EA090F" w:rsidRPr="006F0FF8">
        <w:rPr>
          <w:rFonts w:ascii="Times New Roman" w:eastAsia="Times New Roman" w:hAnsi="Times New Roman" w:cs="Times New Roman"/>
          <w:sz w:val="25"/>
          <w:szCs w:val="25"/>
          <w:lang w:eastAsia="ru-RU"/>
        </w:rPr>
        <w:t>19.11.2021</w:t>
      </w:r>
      <w:r w:rsidR="004D40F3" w:rsidRPr="006F0FF8">
        <w:rPr>
          <w:rFonts w:ascii="Times New Roman" w:eastAsia="Times New Roman" w:hAnsi="Times New Roman" w:cs="Times New Roman"/>
          <w:sz w:val="25"/>
          <w:szCs w:val="25"/>
          <w:lang w:eastAsia="ru-RU"/>
        </w:rPr>
        <w:t xml:space="preserve">г.) «Об общих принципах организации местного самоуправления в Российской Федерации», ст.34, 73 Устава муниципального образования «Невельский городской округ», </w:t>
      </w:r>
      <w:r>
        <w:rPr>
          <w:rFonts w:ascii="Times New Roman" w:eastAsia="Times New Roman" w:hAnsi="Times New Roman" w:cs="Times New Roman"/>
          <w:sz w:val="25"/>
          <w:szCs w:val="25"/>
          <w:lang w:eastAsia="ru-RU"/>
        </w:rPr>
        <w:t>Решение № 290 от 21 декабря 2021 года 58-ой сессией 3 созыва.</w:t>
      </w:r>
    </w:p>
    <w:p w14:paraId="73EA7A80" w14:textId="056A7C83" w:rsidR="00BA5FA4" w:rsidRDefault="00BA5FA4" w:rsidP="004D40F3">
      <w:pPr>
        <w:spacing w:after="0" w:line="240" w:lineRule="auto"/>
        <w:jc w:val="both"/>
        <w:rPr>
          <w:rFonts w:ascii="Times New Roman" w:eastAsia="Times New Roman" w:hAnsi="Times New Roman" w:cs="Times New Roman"/>
          <w:sz w:val="25"/>
          <w:szCs w:val="25"/>
          <w:lang w:eastAsia="ru-RU"/>
        </w:rPr>
      </w:pPr>
    </w:p>
    <w:p w14:paraId="61375261" w14:textId="77777777" w:rsidR="00BA5FA4" w:rsidRPr="006F0FF8" w:rsidRDefault="00BA5FA4" w:rsidP="004D40F3">
      <w:pPr>
        <w:spacing w:after="0" w:line="240" w:lineRule="auto"/>
        <w:jc w:val="both"/>
        <w:rPr>
          <w:rFonts w:ascii="Times New Roman" w:eastAsia="Times New Roman" w:hAnsi="Times New Roman" w:cs="Times New Roman"/>
          <w:sz w:val="25"/>
          <w:szCs w:val="25"/>
          <w:lang w:eastAsia="ru-RU"/>
        </w:rPr>
      </w:pPr>
    </w:p>
    <w:p w14:paraId="75CB0F60" w14:textId="696258EC" w:rsidR="004D40F3" w:rsidRPr="006F0FF8" w:rsidRDefault="00BA5FA4" w:rsidP="004D40F3">
      <w:pPr>
        <w:tabs>
          <w:tab w:val="left" w:pos="798"/>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ab/>
      </w:r>
      <w:r w:rsidR="004D40F3" w:rsidRPr="006F0FF8">
        <w:rPr>
          <w:rFonts w:ascii="Times New Roman" w:eastAsia="Times New Roman" w:hAnsi="Times New Roman" w:cs="Times New Roman"/>
          <w:sz w:val="25"/>
          <w:szCs w:val="25"/>
          <w:lang w:eastAsia="ru-RU"/>
        </w:rPr>
        <w:t>1.Принять местный бюджет Невельского городского округа на 2022 год и на плановый период 2023 и 2024 годов.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5185"/>
      </w:tblGrid>
      <w:tr w:rsidR="004D40F3" w:rsidRPr="006F0FF8" w14:paraId="1DE5FD94" w14:textId="77777777" w:rsidTr="00607FAD">
        <w:trPr>
          <w:trHeight w:val="491"/>
        </w:trPr>
        <w:tc>
          <w:tcPr>
            <w:tcW w:w="4171" w:type="dxa"/>
            <w:tcBorders>
              <w:top w:val="single" w:sz="4" w:space="0" w:color="auto"/>
              <w:left w:val="single" w:sz="4" w:space="0" w:color="auto"/>
              <w:bottom w:val="single" w:sz="4" w:space="0" w:color="auto"/>
              <w:right w:val="single" w:sz="4" w:space="0" w:color="auto"/>
            </w:tcBorders>
            <w:hideMark/>
          </w:tcPr>
          <w:p w14:paraId="0A19CDD7" w14:textId="77777777" w:rsidR="004D40F3" w:rsidRPr="006F0FF8" w:rsidRDefault="004D40F3" w:rsidP="004D40F3">
            <w:pPr>
              <w:spacing w:after="0" w:line="240" w:lineRule="auto"/>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Ведущий разработчик</w:t>
            </w:r>
          </w:p>
        </w:tc>
        <w:tc>
          <w:tcPr>
            <w:tcW w:w="5185" w:type="dxa"/>
            <w:tcBorders>
              <w:top w:val="single" w:sz="4" w:space="0" w:color="auto"/>
              <w:left w:val="single" w:sz="4" w:space="0" w:color="auto"/>
              <w:bottom w:val="single" w:sz="4" w:space="0" w:color="auto"/>
              <w:right w:val="single" w:sz="4" w:space="0" w:color="auto"/>
            </w:tcBorders>
            <w:hideMark/>
          </w:tcPr>
          <w:p w14:paraId="1AFA5D3E" w14:textId="77777777"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финансовый отдел администрации</w:t>
            </w:r>
          </w:p>
          <w:p w14:paraId="11D7C67A" w14:textId="77777777"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Невельского городского округа</w:t>
            </w:r>
          </w:p>
        </w:tc>
      </w:tr>
      <w:tr w:rsidR="004D40F3" w:rsidRPr="006F0FF8" w14:paraId="1F775BA9" w14:textId="77777777" w:rsidTr="00607FAD">
        <w:trPr>
          <w:trHeight w:val="471"/>
        </w:trPr>
        <w:tc>
          <w:tcPr>
            <w:tcW w:w="4171" w:type="dxa"/>
            <w:tcBorders>
              <w:top w:val="single" w:sz="4" w:space="0" w:color="auto"/>
              <w:left w:val="single" w:sz="4" w:space="0" w:color="auto"/>
              <w:bottom w:val="single" w:sz="4" w:space="0" w:color="auto"/>
              <w:right w:val="single" w:sz="4" w:space="0" w:color="auto"/>
            </w:tcBorders>
            <w:hideMark/>
          </w:tcPr>
          <w:p w14:paraId="1B3DE6A4" w14:textId="77777777" w:rsidR="004D40F3" w:rsidRPr="006F0FF8" w:rsidRDefault="004D40F3" w:rsidP="004D40F3">
            <w:pPr>
              <w:spacing w:after="0" w:line="240" w:lineRule="auto"/>
              <w:jc w:val="both"/>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 xml:space="preserve">Ответственная комиссия Собрания Невельского городского округа </w:t>
            </w:r>
          </w:p>
        </w:tc>
        <w:tc>
          <w:tcPr>
            <w:tcW w:w="5185" w:type="dxa"/>
            <w:tcBorders>
              <w:top w:val="single" w:sz="4" w:space="0" w:color="auto"/>
              <w:left w:val="single" w:sz="4" w:space="0" w:color="auto"/>
              <w:bottom w:val="single" w:sz="4" w:space="0" w:color="auto"/>
              <w:right w:val="single" w:sz="4" w:space="0" w:color="auto"/>
            </w:tcBorders>
            <w:hideMark/>
          </w:tcPr>
          <w:p w14:paraId="30C5ED2F" w14:textId="77777777"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постоянная депутатская комиссия по</w:t>
            </w:r>
          </w:p>
          <w:p w14:paraId="3428E21E" w14:textId="77777777"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бюджету, экономике и промышленности</w:t>
            </w:r>
          </w:p>
        </w:tc>
      </w:tr>
      <w:tr w:rsidR="004D40F3" w:rsidRPr="006F0FF8" w14:paraId="3B1CA2D7" w14:textId="77777777" w:rsidTr="00607FAD">
        <w:trPr>
          <w:trHeight w:val="425"/>
        </w:trPr>
        <w:tc>
          <w:tcPr>
            <w:tcW w:w="4171" w:type="dxa"/>
            <w:tcBorders>
              <w:top w:val="single" w:sz="4" w:space="0" w:color="auto"/>
              <w:left w:val="single" w:sz="4" w:space="0" w:color="auto"/>
              <w:bottom w:val="single" w:sz="4" w:space="0" w:color="auto"/>
              <w:right w:val="single" w:sz="4" w:space="0" w:color="auto"/>
            </w:tcBorders>
            <w:hideMark/>
          </w:tcPr>
          <w:p w14:paraId="4104362A" w14:textId="77777777" w:rsidR="004D40F3" w:rsidRPr="006F0FF8" w:rsidRDefault="004D40F3" w:rsidP="004D40F3">
            <w:pPr>
              <w:spacing w:after="0" w:line="240" w:lineRule="auto"/>
              <w:jc w:val="both"/>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Внесен в Собрание Невельского городского округа</w:t>
            </w:r>
          </w:p>
        </w:tc>
        <w:tc>
          <w:tcPr>
            <w:tcW w:w="5185" w:type="dxa"/>
            <w:tcBorders>
              <w:top w:val="single" w:sz="4" w:space="0" w:color="auto"/>
              <w:left w:val="single" w:sz="4" w:space="0" w:color="auto"/>
              <w:bottom w:val="single" w:sz="4" w:space="0" w:color="auto"/>
              <w:right w:val="single" w:sz="4" w:space="0" w:color="auto"/>
            </w:tcBorders>
            <w:hideMark/>
          </w:tcPr>
          <w:p w14:paraId="599EC5F1" w14:textId="77777777"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15.11.2021г.</w:t>
            </w:r>
          </w:p>
        </w:tc>
      </w:tr>
      <w:tr w:rsidR="004D40F3" w:rsidRPr="006F0FF8" w14:paraId="6EF09D21" w14:textId="77777777" w:rsidTr="00607FAD">
        <w:trPr>
          <w:trHeight w:val="353"/>
        </w:trPr>
        <w:tc>
          <w:tcPr>
            <w:tcW w:w="4171" w:type="dxa"/>
            <w:tcBorders>
              <w:top w:val="single" w:sz="4" w:space="0" w:color="auto"/>
              <w:left w:val="single" w:sz="4" w:space="0" w:color="auto"/>
              <w:bottom w:val="single" w:sz="4" w:space="0" w:color="auto"/>
              <w:right w:val="single" w:sz="4" w:space="0" w:color="auto"/>
            </w:tcBorders>
            <w:hideMark/>
          </w:tcPr>
          <w:p w14:paraId="549FE859" w14:textId="77777777" w:rsidR="004D40F3" w:rsidRPr="006F0FF8" w:rsidRDefault="004D40F3" w:rsidP="004D40F3">
            <w:pPr>
              <w:spacing w:after="0" w:line="240" w:lineRule="auto"/>
              <w:jc w:val="both"/>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 xml:space="preserve">Рассмотрен ответственной комиссией                                             </w:t>
            </w:r>
          </w:p>
        </w:tc>
        <w:tc>
          <w:tcPr>
            <w:tcW w:w="5185" w:type="dxa"/>
            <w:tcBorders>
              <w:top w:val="single" w:sz="4" w:space="0" w:color="auto"/>
              <w:left w:val="single" w:sz="4" w:space="0" w:color="auto"/>
              <w:bottom w:val="single" w:sz="4" w:space="0" w:color="auto"/>
              <w:right w:val="single" w:sz="4" w:space="0" w:color="auto"/>
            </w:tcBorders>
            <w:hideMark/>
          </w:tcPr>
          <w:p w14:paraId="15A17ACC" w14:textId="77777777"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24.11.2021г.</w:t>
            </w:r>
          </w:p>
        </w:tc>
      </w:tr>
      <w:tr w:rsidR="004D40F3" w:rsidRPr="006F0FF8" w14:paraId="63FE9088" w14:textId="77777777" w:rsidTr="00607FAD">
        <w:trPr>
          <w:trHeight w:val="345"/>
        </w:trPr>
        <w:tc>
          <w:tcPr>
            <w:tcW w:w="4171" w:type="dxa"/>
            <w:tcBorders>
              <w:top w:val="single" w:sz="4" w:space="0" w:color="auto"/>
              <w:left w:val="single" w:sz="4" w:space="0" w:color="auto"/>
              <w:bottom w:val="single" w:sz="4" w:space="0" w:color="auto"/>
              <w:right w:val="single" w:sz="4" w:space="0" w:color="auto"/>
            </w:tcBorders>
            <w:hideMark/>
          </w:tcPr>
          <w:p w14:paraId="1FC8DD99" w14:textId="77777777" w:rsidR="004D40F3" w:rsidRPr="006F0FF8" w:rsidRDefault="004D40F3" w:rsidP="004D40F3">
            <w:pPr>
              <w:spacing w:after="0" w:line="240" w:lineRule="auto"/>
              <w:jc w:val="both"/>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 xml:space="preserve">Рассмотрен на публичных слушаниях                                                                                                 </w:t>
            </w:r>
          </w:p>
        </w:tc>
        <w:tc>
          <w:tcPr>
            <w:tcW w:w="5185" w:type="dxa"/>
            <w:tcBorders>
              <w:top w:val="single" w:sz="4" w:space="0" w:color="auto"/>
              <w:left w:val="single" w:sz="4" w:space="0" w:color="auto"/>
              <w:bottom w:val="single" w:sz="4" w:space="0" w:color="auto"/>
              <w:right w:val="single" w:sz="4" w:space="0" w:color="auto"/>
            </w:tcBorders>
          </w:tcPr>
          <w:p w14:paraId="77E9EB8E" w14:textId="66371291" w:rsidR="004D40F3" w:rsidRPr="006F0FF8" w:rsidRDefault="004D40F3" w:rsidP="004D40F3">
            <w:pPr>
              <w:spacing w:after="0" w:line="240" w:lineRule="auto"/>
              <w:jc w:val="center"/>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14.12.2021г.</w:t>
            </w:r>
          </w:p>
        </w:tc>
      </w:tr>
      <w:tr w:rsidR="004D40F3" w:rsidRPr="006F0FF8" w14:paraId="35F6151B" w14:textId="77777777" w:rsidTr="00607FAD">
        <w:trPr>
          <w:trHeight w:val="592"/>
        </w:trPr>
        <w:tc>
          <w:tcPr>
            <w:tcW w:w="4171" w:type="dxa"/>
            <w:tcBorders>
              <w:top w:val="single" w:sz="4" w:space="0" w:color="auto"/>
              <w:left w:val="single" w:sz="4" w:space="0" w:color="auto"/>
              <w:bottom w:val="single" w:sz="4" w:space="0" w:color="auto"/>
              <w:right w:val="single" w:sz="4" w:space="0" w:color="auto"/>
            </w:tcBorders>
            <w:hideMark/>
          </w:tcPr>
          <w:p w14:paraId="37FBAB9D" w14:textId="77777777" w:rsidR="004D40F3" w:rsidRPr="006F0FF8" w:rsidRDefault="004D40F3" w:rsidP="004D40F3">
            <w:pPr>
              <w:spacing w:after="0" w:line="240" w:lineRule="auto"/>
              <w:jc w:val="both"/>
              <w:rPr>
                <w:rFonts w:ascii="Times New Roman" w:eastAsia="Times New Roman" w:hAnsi="Times New Roman" w:cs="Times New Roman"/>
                <w:sz w:val="25"/>
                <w:szCs w:val="25"/>
              </w:rPr>
            </w:pPr>
            <w:r w:rsidRPr="006F0FF8">
              <w:rPr>
                <w:rFonts w:ascii="Times New Roman" w:eastAsia="Times New Roman" w:hAnsi="Times New Roman" w:cs="Times New Roman"/>
                <w:sz w:val="25"/>
                <w:szCs w:val="25"/>
              </w:rPr>
              <w:t>Принят Собранием Невельского городского округа</w:t>
            </w:r>
          </w:p>
        </w:tc>
        <w:tc>
          <w:tcPr>
            <w:tcW w:w="5185" w:type="dxa"/>
            <w:tcBorders>
              <w:top w:val="single" w:sz="4" w:space="0" w:color="auto"/>
              <w:left w:val="single" w:sz="4" w:space="0" w:color="auto"/>
              <w:bottom w:val="single" w:sz="4" w:space="0" w:color="auto"/>
              <w:right w:val="single" w:sz="4" w:space="0" w:color="auto"/>
            </w:tcBorders>
          </w:tcPr>
          <w:p w14:paraId="4CF389B0" w14:textId="17AAF99D" w:rsidR="004D40F3" w:rsidRPr="006F0FF8" w:rsidRDefault="00E50090" w:rsidP="004D40F3">
            <w:pPr>
              <w:spacing w:after="0" w:line="240" w:lineRule="auto"/>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21.12.2021г.</w:t>
            </w:r>
          </w:p>
        </w:tc>
      </w:tr>
    </w:tbl>
    <w:p w14:paraId="6B690487"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1.</w:t>
      </w:r>
    </w:p>
    <w:p w14:paraId="36DFB265"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1.Утвердить основные характеристики местного бюджета Невельского городского округа на 2022 год:</w:t>
      </w:r>
    </w:p>
    <w:p w14:paraId="3ECB903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прогнозируемый общий объем доходов местного бюджета Невельского городского округа в сумме 2 151 636,9 тыс.рублей, в том числе безвозмездные поступления в сумме 1 698 236,9 тыс.рублей;</w:t>
      </w:r>
    </w:p>
    <w:p w14:paraId="2267E79F"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общий объем расходов местного бюджета Невельского городского округа в сумме 2 153 248,1 тыс.рублей;</w:t>
      </w:r>
    </w:p>
    <w:p w14:paraId="072D723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 дефицит местного бюджета Невельского городского округа в сумме 1 611,2 тыс.рублей,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75845FD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2.Утвердить основные характеристики местного бюджета Невельского городского округа на плановый период:</w:t>
      </w:r>
    </w:p>
    <w:p w14:paraId="725D47C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прогнозируемый общий объем доходов местного бюджета Невельского городского округа:</w:t>
      </w:r>
    </w:p>
    <w:p w14:paraId="7F971EDD"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lastRenderedPageBreak/>
        <w:t>а) на 2023 год в сумме 1 418 811,9 тыс.рублей, в том числе безвозмездные поступления в сумме 958 711,9 тыс.рублей;</w:t>
      </w:r>
    </w:p>
    <w:p w14:paraId="6387FD7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1 367 259,8 тыс.рублей, в том числе безвозмездные поступления в сумме 896 259,8 тыс.рублей;</w:t>
      </w:r>
    </w:p>
    <w:p w14:paraId="7312CD5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общий объем расходов местного бюджета Невельского городского округа:</w:t>
      </w:r>
    </w:p>
    <w:p w14:paraId="335B5A2B" w14:textId="62E0F9EF"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а) на 2023 год в сумме 1 420 907,5 тыс.рублей, </w:t>
      </w:r>
      <w:r w:rsidRPr="006C04C3">
        <w:rPr>
          <w:rFonts w:ascii="Times New Roman" w:eastAsia="Calibri" w:hAnsi="Times New Roman" w:cs="Times New Roman"/>
          <w:sz w:val="25"/>
          <w:szCs w:val="25"/>
        </w:rPr>
        <w:t>в том числе условно утвержденные расходы 15 800,0 тыс.руб</w:t>
      </w:r>
      <w:r w:rsidRPr="006F0FF8">
        <w:rPr>
          <w:rFonts w:ascii="Times New Roman" w:eastAsia="Calibri" w:hAnsi="Times New Roman" w:cs="Times New Roman"/>
          <w:sz w:val="25"/>
          <w:szCs w:val="25"/>
        </w:rPr>
        <w:t>лей</w:t>
      </w:r>
      <w:r w:rsidRPr="006C04C3">
        <w:rPr>
          <w:rFonts w:ascii="Times New Roman" w:eastAsia="Times New Roman" w:hAnsi="Times New Roman" w:cs="Times New Roman"/>
          <w:sz w:val="25"/>
          <w:szCs w:val="25"/>
          <w:lang w:eastAsia="ru-RU"/>
        </w:rPr>
        <w:t>;</w:t>
      </w:r>
    </w:p>
    <w:p w14:paraId="529EF0DF" w14:textId="19380895"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б) на 2024 год в сумме 1 390 809,8 тыс.рублей, </w:t>
      </w:r>
      <w:r w:rsidRPr="006C04C3">
        <w:rPr>
          <w:rFonts w:ascii="Times New Roman" w:eastAsia="Calibri" w:hAnsi="Times New Roman" w:cs="Times New Roman"/>
          <w:sz w:val="25"/>
          <w:szCs w:val="25"/>
        </w:rPr>
        <w:t>в том числе условно утвержденные расходы – 28 800,0 тыс.руб</w:t>
      </w:r>
      <w:r w:rsidRPr="006F0FF8">
        <w:rPr>
          <w:rFonts w:ascii="Times New Roman" w:eastAsia="Calibri" w:hAnsi="Times New Roman" w:cs="Times New Roman"/>
          <w:sz w:val="25"/>
          <w:szCs w:val="25"/>
        </w:rPr>
        <w:t>лей;</w:t>
      </w:r>
    </w:p>
    <w:p w14:paraId="368B7F4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 дефицит местного бюджета Невельского городского округа:</w:t>
      </w:r>
    </w:p>
    <w:p w14:paraId="209E2EE5"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2 095,6 тыс.рублей,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6F79BCD6"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23 550,0 тыс.рублей, не превышающий 10 процентов от объема доходов местного бюджета без учета утвержденного объема безвозмездных поступлений из областного бюджета и (или) поступлений налоговых доходов по дополнительным нормативам отчислений.</w:t>
      </w:r>
    </w:p>
    <w:p w14:paraId="2C4E600B"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2.</w:t>
      </w:r>
    </w:p>
    <w:p w14:paraId="55C75B0A"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В местном бюджете Невельского городского округа учесть объем безвозмездных поступлений из бюджета Сахалинской области в виде:</w:t>
      </w:r>
    </w:p>
    <w:p w14:paraId="5BFC6EB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1.Дотации на выравнивание бюджетной обеспеченности из регионального Фонда финансовой поддержки муниципальных районов (городских округов) Сахалинской области:</w:t>
      </w:r>
    </w:p>
    <w:p w14:paraId="7E2F50E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317 858,7 тыс.рублей;</w:t>
      </w:r>
    </w:p>
    <w:p w14:paraId="783F3DCD"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2D32CEC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147 754,6 тыс.рублей;</w:t>
      </w:r>
    </w:p>
    <w:p w14:paraId="11341C3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80 392,6 тыс.рублей.</w:t>
      </w:r>
    </w:p>
    <w:p w14:paraId="172A1A22" w14:textId="506E5535"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2.Субсидии из регионального Фонда софинансирования расходов:</w:t>
      </w:r>
    </w:p>
    <w:p w14:paraId="453942C6"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804 034,7 тыс.рублей;</w:t>
      </w:r>
    </w:p>
    <w:p w14:paraId="40C3772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25BEE91D"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228 951,6 тыс.рублей;</w:t>
      </w:r>
    </w:p>
    <w:p w14:paraId="2801BE2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368 077,2 тыс.рублей.</w:t>
      </w:r>
    </w:p>
    <w:p w14:paraId="65E79B21" w14:textId="15AE07CF"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3.Субвенции из регионального Фонда компенсаций:</w:t>
      </w:r>
    </w:p>
    <w:p w14:paraId="01372219"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79 923,5 тыс.рублей;</w:t>
      </w:r>
    </w:p>
    <w:p w14:paraId="3B23DC25"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69C140B8"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104 747,0 тыс.рублей;</w:t>
      </w:r>
    </w:p>
    <w:p w14:paraId="35DCD0E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102 584,2 тыс.рублей.</w:t>
      </w:r>
    </w:p>
    <w:p w14:paraId="7345E8C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4. В местном бюджете Невельского городского округа учесть межбюджетные трансферты из бюджета Сахалинской области:</w:t>
      </w:r>
    </w:p>
    <w:p w14:paraId="5C001E7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496 420,0 тыс.рублей;</w:t>
      </w:r>
    </w:p>
    <w:p w14:paraId="0B9DA4F5"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39CE09C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477 258,7 тыс.рублей;</w:t>
      </w:r>
    </w:p>
    <w:p w14:paraId="305A92D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345 205,8 тыс.рублей.</w:t>
      </w:r>
    </w:p>
    <w:p w14:paraId="1DBF9FF1" w14:textId="6CF04096"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3.</w:t>
      </w:r>
    </w:p>
    <w:p w14:paraId="5B679A9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1.Утвердить общий объем бюджетных ассигнований на исполнение публичных нормативных обязательств местного бюджета Невельского городского округа:</w:t>
      </w:r>
    </w:p>
    <w:p w14:paraId="30A396D6"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12 946,5 тыс.рублей;</w:t>
      </w:r>
    </w:p>
    <w:p w14:paraId="0EDE57C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02D92996"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14 898,8 тыс.рублей;</w:t>
      </w:r>
    </w:p>
    <w:p w14:paraId="601D01E2"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lastRenderedPageBreak/>
        <w:t>б) на 2024 в сумме 14 666,6 тыс.рублей.</w:t>
      </w:r>
    </w:p>
    <w:p w14:paraId="53DE2341" w14:textId="33C7B742"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2.Утвердить размер резервного фонда администрации Невельского городского округа:</w:t>
      </w:r>
    </w:p>
    <w:p w14:paraId="0BFB518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5 000,0 тыс.рублей;</w:t>
      </w:r>
    </w:p>
    <w:p w14:paraId="43736483"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3CE3BF78"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1 000,0 тыс.рублей;</w:t>
      </w:r>
    </w:p>
    <w:p w14:paraId="08353C2F"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1 000,0 тыс.рублей.</w:t>
      </w:r>
    </w:p>
    <w:p w14:paraId="7D528587" w14:textId="0FCE3320"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3.Утвердить объем бюджетных ассигнований муниципального дорожного фонда Невельского городского округа:</w:t>
      </w:r>
    </w:p>
    <w:p w14:paraId="61D97D8F"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163 545,3 тыс.рублей;</w:t>
      </w:r>
    </w:p>
    <w:p w14:paraId="6FB2B7F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3648FAA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146 651,5 тыс.рублей;</w:t>
      </w:r>
    </w:p>
    <w:p w14:paraId="28C4332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274 303,9 тыс.рублей.</w:t>
      </w:r>
    </w:p>
    <w:p w14:paraId="09EA52C2" w14:textId="748C056C"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4.Установить, что источником формирования муниципального дорожного фонда Невельского городского округа является часть общих доходов местного бюджета в размере:</w:t>
      </w:r>
    </w:p>
    <w:p w14:paraId="7D7580D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2022 год в сумме 70 00,0 тыс.рублей;</w:t>
      </w:r>
    </w:p>
    <w:p w14:paraId="1FDBAF7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на плановый период:</w:t>
      </w:r>
    </w:p>
    <w:p w14:paraId="49E6298A"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а) на 2023 год в сумме 69 400,0 тыс.рублей;</w:t>
      </w:r>
    </w:p>
    <w:p w14:paraId="1DD46269"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б) на 2024 год в сумме 73 000,0 тыс.рублей.</w:t>
      </w:r>
    </w:p>
    <w:p w14:paraId="77D0105C"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4.</w:t>
      </w:r>
    </w:p>
    <w:p w14:paraId="04109ECC"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1.Установить, что в местный бюджет Невельского городского округа в 2022 году и плановом периоде 2023 и 2024 годов по нормативам, установленным законодательством Российской Федерации и Сахалинской области, зачисляются следующие доходы:</w:t>
      </w:r>
    </w:p>
    <w:p w14:paraId="0CA8B7E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налог на доходы физических лиц:</w:t>
      </w:r>
    </w:p>
    <w:p w14:paraId="3FA2D5F4" w14:textId="77777777" w:rsidR="006C04C3" w:rsidRPr="006C04C3" w:rsidRDefault="006C04C3" w:rsidP="006C04C3">
      <w:pPr>
        <w:autoSpaceDE w:val="0"/>
        <w:autoSpaceDN w:val="0"/>
        <w:adjustRightInd w:val="0"/>
        <w:spacing w:after="0" w:line="240" w:lineRule="auto"/>
        <w:ind w:firstLine="709"/>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 по нормативу 15 процентов в соответствии с Бюджетным кодексом Российской Федерации, </w:t>
      </w:r>
      <w:r w:rsidRPr="006C04C3">
        <w:rPr>
          <w:rFonts w:ascii="Times New Roman" w:eastAsia="Calibri" w:hAnsi="Times New Roman" w:cs="Times New Roman"/>
          <w:sz w:val="25"/>
          <w:szCs w:val="25"/>
        </w:rPr>
        <w:t xml:space="preserve">за исключением налога на доходы физических лиц в отношении доходов, указанных в </w:t>
      </w:r>
      <w:hyperlink r:id="rId7" w:history="1">
        <w:r w:rsidRPr="006C04C3">
          <w:rPr>
            <w:rFonts w:ascii="Times New Roman" w:eastAsia="Calibri" w:hAnsi="Times New Roman" w:cs="Times New Roman"/>
            <w:sz w:val="25"/>
            <w:szCs w:val="25"/>
          </w:rPr>
          <w:t>абзацах тридцать пятом</w:t>
        </w:r>
      </w:hyperlink>
      <w:r w:rsidRPr="006C04C3">
        <w:rPr>
          <w:rFonts w:ascii="Times New Roman" w:eastAsia="Calibri" w:hAnsi="Times New Roman" w:cs="Times New Roman"/>
          <w:sz w:val="25"/>
          <w:szCs w:val="25"/>
        </w:rPr>
        <w:t xml:space="preserve"> и </w:t>
      </w:r>
      <w:hyperlink r:id="rId8" w:history="1">
        <w:r w:rsidRPr="006C04C3">
          <w:rPr>
            <w:rFonts w:ascii="Times New Roman" w:eastAsia="Calibri" w:hAnsi="Times New Roman" w:cs="Times New Roman"/>
            <w:sz w:val="25"/>
            <w:szCs w:val="25"/>
          </w:rPr>
          <w:t>тридцать шестом статьи 50</w:t>
        </w:r>
      </w:hyperlink>
      <w:r w:rsidRPr="006C04C3">
        <w:rPr>
          <w:rFonts w:ascii="Times New Roman" w:eastAsia="Calibri" w:hAnsi="Times New Roman" w:cs="Times New Roman"/>
          <w:sz w:val="25"/>
          <w:szCs w:val="25"/>
        </w:rPr>
        <w:t xml:space="preserve"> и </w:t>
      </w:r>
      <w:hyperlink r:id="rId9" w:history="1">
        <w:r w:rsidRPr="006C04C3">
          <w:rPr>
            <w:rFonts w:ascii="Times New Roman" w:eastAsia="Calibri" w:hAnsi="Times New Roman" w:cs="Times New Roman"/>
            <w:sz w:val="25"/>
            <w:szCs w:val="25"/>
          </w:rPr>
          <w:t>абзаце седьмом</w:t>
        </w:r>
      </w:hyperlink>
      <w:r w:rsidRPr="006C04C3">
        <w:rPr>
          <w:rFonts w:ascii="Times New Roman" w:eastAsia="Calibri" w:hAnsi="Times New Roman" w:cs="Times New Roman"/>
          <w:sz w:val="25"/>
          <w:szCs w:val="25"/>
        </w:rPr>
        <w:t xml:space="preserve"> пункта 2 статьи 61.2 Бюджетного кодекса Российской Федерации</w:t>
      </w:r>
      <w:r w:rsidRPr="006C04C3">
        <w:rPr>
          <w:rFonts w:ascii="Times New Roman" w:eastAsia="Times New Roman" w:hAnsi="Times New Roman" w:cs="Times New Roman"/>
          <w:sz w:val="25"/>
          <w:szCs w:val="25"/>
          <w:lang w:eastAsia="ru-RU"/>
        </w:rPr>
        <w:t>;</w:t>
      </w:r>
    </w:p>
    <w:p w14:paraId="64F6D9B7"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по нормативу 13 процентов</w:t>
      </w:r>
      <w:r w:rsidRPr="006C04C3">
        <w:rPr>
          <w:rFonts w:ascii="Times New Roman" w:eastAsia="Times New Roman" w:hAnsi="Times New Roman" w:cs="Times New Roman"/>
          <w:sz w:val="25"/>
          <w:szCs w:val="25"/>
          <w:lang w:eastAsia="ru-RU"/>
        </w:rPr>
        <w:t xml:space="preserve"> в соответствии с Бюджетным кодексом Российской Федерации</w:t>
      </w:r>
      <w:r w:rsidRPr="006C04C3">
        <w:rPr>
          <w:rFonts w:ascii="Times New Roman" w:eastAsia="Calibri" w:hAnsi="Times New Roman" w:cs="Times New Roman"/>
          <w:sz w:val="25"/>
          <w:szCs w:val="25"/>
        </w:rPr>
        <w:t xml:space="preserve"> в части суммы налога, превышающей 650 тысяч рублей, относящейся к части налоговой базы, превышающей 5 миллионов рублей;</w:t>
      </w:r>
    </w:p>
    <w:p w14:paraId="6D0B26C8"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- 20 процентов в соответствии с законом Сахалинской области от 27.12.2011г. № 149-ЗО «Об установлении единого норматива отчислений в местные бюджеты от налога на доходы физических лиц»;</w:t>
      </w:r>
    </w:p>
    <w:p w14:paraId="5FDBB6AC"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2)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14:paraId="0AFBD39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 налоги на совокупный доход:</w:t>
      </w:r>
    </w:p>
    <w:p w14:paraId="79F1A318"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единый налог, взимаемый в связи с применением упрощенной системой налогообложения;</w:t>
      </w:r>
    </w:p>
    <w:p w14:paraId="460ABBFD"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налог, взимаемый в связи с применением патентной системы налогообложения;</w:t>
      </w:r>
    </w:p>
    <w:p w14:paraId="24DAC4E2"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единый сельскохозяйственный налог;</w:t>
      </w:r>
    </w:p>
    <w:p w14:paraId="77BFE21F"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4) налоги на имущество: налог на имущество физических лиц, налог на имущество организаций, земельный налог, транспортный налог;</w:t>
      </w:r>
    </w:p>
    <w:p w14:paraId="1752BF2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5) государственная пошлина по делам, рассматриваемым в судах общей юрисдикции, мировыми судьями;</w:t>
      </w:r>
    </w:p>
    <w:p w14:paraId="5C7C8A7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lastRenderedPageBreak/>
        <w:t>6) задолженность и перерасчеты по отмененным местным налогам, сборам и иным обязательным платежам в части, подлежащей зачислению в местный бюджет городского округа;</w:t>
      </w:r>
    </w:p>
    <w:p w14:paraId="30D9F49E" w14:textId="7B27E222"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7) доходы от использования </w:t>
      </w:r>
      <w:r w:rsidR="006F0FF8" w:rsidRPr="006F0FF8">
        <w:rPr>
          <w:rFonts w:ascii="Times New Roman" w:eastAsia="Times New Roman" w:hAnsi="Times New Roman" w:cs="Times New Roman"/>
          <w:sz w:val="25"/>
          <w:szCs w:val="25"/>
          <w:lang w:eastAsia="ru-RU"/>
        </w:rPr>
        <w:t>имущества,</w:t>
      </w:r>
      <w:r w:rsidRPr="006C04C3">
        <w:rPr>
          <w:rFonts w:ascii="Times New Roman" w:eastAsia="Times New Roman" w:hAnsi="Times New Roman" w:cs="Times New Roman"/>
          <w:sz w:val="25"/>
          <w:szCs w:val="25"/>
          <w:lang w:eastAsia="ru-RU"/>
        </w:rPr>
        <w:t xml:space="preserve"> находящегося в муниципальной собственности:</w:t>
      </w:r>
    </w:p>
    <w:p w14:paraId="348A1A0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арендная плата за земельные участки, государственная собственность на которые не разграничена и которые расположены в границах городского округа, а также средства от продажи права на заключение договоров аренды указанных земельных участков;</w:t>
      </w:r>
    </w:p>
    <w:p w14:paraId="31147294"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787C65EA"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8) платежи при пользовании природными ресурсами, плата за негативное воздействие на окружающую среду;</w:t>
      </w:r>
    </w:p>
    <w:p w14:paraId="575EAD2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9) доходы от продажи материальных и нематериальных активов;</w:t>
      </w:r>
    </w:p>
    <w:p w14:paraId="6625A7C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10) штрафы, санкции, возмещение ущерба;</w:t>
      </w:r>
    </w:p>
    <w:p w14:paraId="4DA26BBD"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11) прочие налоги, сборы и платежи, подлежащие зачислению в бюджет Невельского городского округа в соответствии с законодательством Российской Федерации и Сахалинской области.</w:t>
      </w:r>
    </w:p>
    <w:p w14:paraId="6B0C0175" w14:textId="00DE1E1E"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2.Установить, что доходы от федеральных налогов и сборов, региональных и местных налогов, иных обязательных платежей и поступлений, являющихся </w:t>
      </w:r>
      <w:r w:rsidR="006F0FF8" w:rsidRPr="006F0FF8">
        <w:rPr>
          <w:rFonts w:ascii="Times New Roman" w:eastAsia="Times New Roman" w:hAnsi="Times New Roman" w:cs="Times New Roman"/>
          <w:sz w:val="25"/>
          <w:szCs w:val="25"/>
          <w:lang w:eastAsia="ru-RU"/>
        </w:rPr>
        <w:t>источниками формирования доходов местного бюджета Невельского городского округа,</w:t>
      </w:r>
      <w:r w:rsidRPr="006C04C3">
        <w:rPr>
          <w:rFonts w:ascii="Times New Roman" w:eastAsia="Times New Roman" w:hAnsi="Times New Roman" w:cs="Times New Roman"/>
          <w:sz w:val="25"/>
          <w:szCs w:val="25"/>
          <w:lang w:eastAsia="ru-RU"/>
        </w:rPr>
        <w:t xml:space="preserve"> зачисляются в бюджет городского округа в соответствии с нормативами, установленными федеральным и региональным законодательством.</w:t>
      </w:r>
    </w:p>
    <w:p w14:paraId="46A0D080"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5.</w:t>
      </w:r>
    </w:p>
    <w:p w14:paraId="226BA70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Установить, что налоговые платежи, установленные статьей 4 настоящего Решения, от организаций, в состав которых входят филиалы, представительства и иные обособленные подразделения, расположенные в нескольких муниципальных образованиях Российской Федерации, на территории которых они осуществляют функции организаций, зачисляются в соответствующие бюджеты по месту нахождения филиалов, представительств и иных обособленных подразделений в соответствии с налоговым законодательством.</w:t>
      </w:r>
    </w:p>
    <w:p w14:paraId="16F379EF"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6.</w:t>
      </w:r>
    </w:p>
    <w:p w14:paraId="159976C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Учесть в местном бюджете Невельского городского округа на 2022 год и плановый период 2023 и 2024 годов поступление доходов по группам, подгруппам и статьям классификации доходов бюджетов Российской Федерации в суммах согласно приложению № 1 к настоящему Решению.</w:t>
      </w:r>
    </w:p>
    <w:p w14:paraId="3B6D950B"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7.</w:t>
      </w:r>
    </w:p>
    <w:p w14:paraId="75FB930C"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Утвердить Перечень главных распорядителей средств местного бюджета в ведомственной структуре расходов Невельского городского округа согласно приложению № 2 к настоящему Решению.</w:t>
      </w:r>
    </w:p>
    <w:p w14:paraId="4F451B36"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8.</w:t>
      </w:r>
    </w:p>
    <w:p w14:paraId="2931B72B"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sz w:val="25"/>
          <w:szCs w:val="25"/>
          <w:lang w:eastAsia="ru-RU"/>
        </w:rPr>
        <w:t>Утвердить в пределах общего объема расходов, установленного статьей 1 настоящего Решения распределение расходов местного бюджета Невельского городского округа на 2022 год и плановый период 2023 и 2024 годов по разделам, подразделам, целевым статьям и видам расходов функциональной классификации расходов бюджетов Российской Федерации согласно приложению № 3 к настоящему Решению.</w:t>
      </w:r>
    </w:p>
    <w:p w14:paraId="76138040" w14:textId="77777777" w:rsidR="00BA5FA4" w:rsidRDefault="00BA5FA4" w:rsidP="006C04C3">
      <w:pPr>
        <w:spacing w:after="0" w:line="240" w:lineRule="auto"/>
        <w:ind w:firstLine="708"/>
        <w:jc w:val="both"/>
        <w:rPr>
          <w:rFonts w:ascii="Times New Roman" w:eastAsia="Times New Roman" w:hAnsi="Times New Roman" w:cs="Times New Roman"/>
          <w:b/>
          <w:sz w:val="25"/>
          <w:szCs w:val="25"/>
          <w:lang w:eastAsia="ru-RU"/>
        </w:rPr>
      </w:pPr>
    </w:p>
    <w:p w14:paraId="734CAA36" w14:textId="46AD0131"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lastRenderedPageBreak/>
        <w:t>Статья 9.</w:t>
      </w:r>
    </w:p>
    <w:p w14:paraId="5F2ABF4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Утвердить расходы местного бюджета Невельского городского округа на 2022 год и на плановый период 2023 и 2024 годов по главным распорядителям бюджетных средств согласно приложению № 4 к настоящему Решению.</w:t>
      </w:r>
    </w:p>
    <w:p w14:paraId="05F98CD2"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10.</w:t>
      </w:r>
    </w:p>
    <w:p w14:paraId="519C0F55"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Утвердить перечень и финансовое обеспечение муниципальных программ Невельского городского округа на 2022 год и на плановый период 2023 и 2024 годов согласно приложению № 5 к настоящему Решению.</w:t>
      </w:r>
    </w:p>
    <w:p w14:paraId="6B050ED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11.</w:t>
      </w:r>
    </w:p>
    <w:p w14:paraId="3C1620B9" w14:textId="64361D9E"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1.В соответствии с пунктом 3 статьи 217 Бюджетного кодекса Российской Федерации 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w:t>
      </w:r>
    </w:p>
    <w:p w14:paraId="37F2270F"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в случае перераспределения бюджетных ассигнований, предусмотренных для исполнения публичных нормативных обязательств, - в пределах общего объема утвержденных ассигнований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14:paraId="5FD139B9"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xml:space="preserve">- 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05.04.2013 №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0" w:history="1">
        <w:r w:rsidRPr="006C04C3">
          <w:rPr>
            <w:rFonts w:ascii="Times New Roman" w:eastAsia="Calibri" w:hAnsi="Times New Roman" w:cs="Times New Roman"/>
            <w:sz w:val="25"/>
            <w:szCs w:val="25"/>
          </w:rPr>
          <w:t>пунктом 5 статьи 154</w:t>
        </w:r>
      </w:hyperlink>
      <w:r w:rsidRPr="006C04C3">
        <w:rPr>
          <w:rFonts w:ascii="Times New Roman" w:eastAsia="Calibri" w:hAnsi="Times New Roman" w:cs="Times New Roman"/>
          <w:sz w:val="25"/>
          <w:szCs w:val="25"/>
        </w:rPr>
        <w:t xml:space="preserve"> Бюджетного кодекса Российской Федерации;</w:t>
      </w:r>
    </w:p>
    <w:p w14:paraId="78A04EC9"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в случае исполнения судебных актов, предусматривающих обращение взыскания на средства местного бюджета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14:paraId="38FB7A65"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22933475"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в случае перераспределения бюджетных ассигнований, предоставляемых на конкурсной основе;</w:t>
      </w:r>
    </w:p>
    <w:p w14:paraId="04503616"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в случае перераспределения бюджетных ассигнований между текущим финансовым годом и плановым периодом - в пределах предусмотренного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14:paraId="1437ABB5"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t>-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утвержденных объемов, а также в случае сокращения (возврата при отсутствии потребности) указанных средств;</w:t>
      </w:r>
    </w:p>
    <w:p w14:paraId="36C2FDB2" w14:textId="77777777" w:rsidR="006C04C3" w:rsidRPr="006C04C3" w:rsidRDefault="006C04C3" w:rsidP="006C04C3">
      <w:pPr>
        <w:autoSpaceDE w:val="0"/>
        <w:autoSpaceDN w:val="0"/>
        <w:adjustRightInd w:val="0"/>
        <w:spacing w:after="0" w:line="240" w:lineRule="auto"/>
        <w:ind w:firstLine="709"/>
        <w:jc w:val="both"/>
        <w:rPr>
          <w:rFonts w:ascii="Times New Roman" w:eastAsia="Calibri" w:hAnsi="Times New Roman" w:cs="Times New Roman"/>
          <w:sz w:val="25"/>
          <w:szCs w:val="25"/>
        </w:rPr>
      </w:pPr>
      <w:r w:rsidRPr="006C04C3">
        <w:rPr>
          <w:rFonts w:ascii="Times New Roman" w:eastAsia="Calibri" w:hAnsi="Times New Roman" w:cs="Times New Roman"/>
          <w:sz w:val="25"/>
          <w:szCs w:val="25"/>
        </w:rPr>
        <w:lastRenderedPageBreak/>
        <w:t>- в случае изменения типа (подведомственности) муниципальных учреждений и организационно-правовой формы муниципальных унитарных предприятий;</w:t>
      </w:r>
    </w:p>
    <w:p w14:paraId="718B5F51" w14:textId="0B1B2380" w:rsidR="006C04C3" w:rsidRPr="006C04C3" w:rsidRDefault="006F0FF8" w:rsidP="006C04C3">
      <w:pPr>
        <w:autoSpaceDE w:val="0"/>
        <w:autoSpaceDN w:val="0"/>
        <w:adjustRightInd w:val="0"/>
        <w:spacing w:after="0" w:line="240" w:lineRule="auto"/>
        <w:ind w:firstLine="540"/>
        <w:jc w:val="both"/>
        <w:rPr>
          <w:rFonts w:ascii="Times New Roman" w:eastAsia="Calibri" w:hAnsi="Times New Roman" w:cs="Times New Roman"/>
          <w:sz w:val="25"/>
          <w:szCs w:val="25"/>
        </w:rPr>
      </w:pPr>
      <w:r w:rsidRPr="006F0FF8">
        <w:rPr>
          <w:rFonts w:ascii="Times New Roman" w:eastAsia="Calibri" w:hAnsi="Times New Roman" w:cs="Times New Roman"/>
          <w:sz w:val="25"/>
          <w:szCs w:val="25"/>
        </w:rPr>
        <w:tab/>
      </w:r>
      <w:r w:rsidR="006C04C3" w:rsidRPr="006C04C3">
        <w:rPr>
          <w:rFonts w:ascii="Times New Roman" w:eastAsia="Calibri" w:hAnsi="Times New Roman" w:cs="Times New Roman"/>
          <w:sz w:val="25"/>
          <w:szCs w:val="25"/>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11" w:history="1">
        <w:r w:rsidR="006C04C3" w:rsidRPr="006C04C3">
          <w:rPr>
            <w:rFonts w:ascii="Times New Roman" w:eastAsia="Calibri" w:hAnsi="Times New Roman" w:cs="Times New Roman"/>
            <w:sz w:val="25"/>
            <w:szCs w:val="25"/>
          </w:rPr>
          <w:t>статьей 242.22</w:t>
        </w:r>
      </w:hyperlink>
      <w:r w:rsidR="006C04C3" w:rsidRPr="006C04C3">
        <w:rPr>
          <w:rFonts w:ascii="Times New Roman" w:eastAsia="Calibri" w:hAnsi="Times New Roman" w:cs="Times New Roman"/>
          <w:sz w:val="25"/>
          <w:szCs w:val="25"/>
        </w:rPr>
        <w:t xml:space="preserve">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14:paraId="0AD49579" w14:textId="2B2D9010" w:rsidR="006C04C3" w:rsidRPr="006C04C3" w:rsidRDefault="006F0FF8" w:rsidP="006C04C3">
      <w:pPr>
        <w:autoSpaceDE w:val="0"/>
        <w:autoSpaceDN w:val="0"/>
        <w:adjustRightInd w:val="0"/>
        <w:spacing w:after="0" w:line="240" w:lineRule="auto"/>
        <w:ind w:firstLine="540"/>
        <w:jc w:val="both"/>
        <w:rPr>
          <w:rFonts w:ascii="Times New Roman" w:eastAsia="Calibri" w:hAnsi="Times New Roman" w:cs="Times New Roman"/>
          <w:sz w:val="25"/>
          <w:szCs w:val="25"/>
        </w:rPr>
      </w:pPr>
      <w:r w:rsidRPr="006F0FF8">
        <w:rPr>
          <w:rFonts w:ascii="Times New Roman" w:eastAsia="Calibri" w:hAnsi="Times New Roman" w:cs="Times New Roman"/>
          <w:sz w:val="25"/>
          <w:szCs w:val="25"/>
        </w:rPr>
        <w:tab/>
      </w:r>
      <w:r w:rsidR="006C04C3" w:rsidRPr="006C04C3">
        <w:rPr>
          <w:rFonts w:ascii="Times New Roman" w:eastAsia="Calibri" w:hAnsi="Times New Roman" w:cs="Times New Roman"/>
          <w:sz w:val="25"/>
          <w:szCs w:val="25"/>
        </w:rPr>
        <w:t>-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14:paraId="1876FDEE" w14:textId="0DFC6FE3" w:rsidR="006C04C3" w:rsidRPr="006C04C3" w:rsidRDefault="006F0FF8" w:rsidP="006C04C3">
      <w:pPr>
        <w:autoSpaceDE w:val="0"/>
        <w:autoSpaceDN w:val="0"/>
        <w:adjustRightInd w:val="0"/>
        <w:spacing w:after="0" w:line="240" w:lineRule="auto"/>
        <w:ind w:firstLine="540"/>
        <w:jc w:val="both"/>
        <w:rPr>
          <w:rFonts w:ascii="Times New Roman" w:eastAsia="Calibri" w:hAnsi="Times New Roman" w:cs="Times New Roman"/>
          <w:sz w:val="25"/>
          <w:szCs w:val="25"/>
        </w:rPr>
      </w:pPr>
      <w:r w:rsidRPr="006F0FF8">
        <w:rPr>
          <w:rFonts w:ascii="Times New Roman" w:eastAsia="Calibri" w:hAnsi="Times New Roman" w:cs="Times New Roman"/>
          <w:sz w:val="25"/>
          <w:szCs w:val="25"/>
        </w:rPr>
        <w:tab/>
      </w:r>
      <w:r w:rsidR="006C04C3" w:rsidRPr="006C04C3">
        <w:rPr>
          <w:rFonts w:ascii="Times New Roman" w:eastAsia="Calibri" w:hAnsi="Times New Roman" w:cs="Times New Roman"/>
          <w:sz w:val="25"/>
          <w:szCs w:val="25"/>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2" w:history="1">
        <w:r w:rsidR="006C04C3" w:rsidRPr="006C04C3">
          <w:rPr>
            <w:rFonts w:ascii="Times New Roman" w:eastAsia="Calibri" w:hAnsi="Times New Roman" w:cs="Times New Roman"/>
            <w:sz w:val="25"/>
            <w:szCs w:val="25"/>
          </w:rPr>
          <w:t>пункте 2 статьи 78.2</w:t>
        </w:r>
      </w:hyperlink>
      <w:r w:rsidR="006C04C3" w:rsidRPr="006C04C3">
        <w:rPr>
          <w:rFonts w:ascii="Times New Roman" w:eastAsia="Calibri" w:hAnsi="Times New Roman" w:cs="Times New Roman"/>
          <w:sz w:val="25"/>
          <w:szCs w:val="25"/>
        </w:rPr>
        <w:t xml:space="preserve"> и </w:t>
      </w:r>
      <w:hyperlink r:id="rId13" w:history="1">
        <w:r w:rsidR="006C04C3" w:rsidRPr="006C04C3">
          <w:rPr>
            <w:rFonts w:ascii="Times New Roman" w:eastAsia="Calibri" w:hAnsi="Times New Roman" w:cs="Times New Roman"/>
            <w:sz w:val="25"/>
            <w:szCs w:val="25"/>
          </w:rPr>
          <w:t>пункте 2 статьи 79</w:t>
        </w:r>
      </w:hyperlink>
      <w:r w:rsidR="006C04C3" w:rsidRPr="006C04C3">
        <w:rPr>
          <w:rFonts w:ascii="Times New Roman" w:eastAsia="Calibri" w:hAnsi="Times New Roman" w:cs="Times New Roman"/>
          <w:sz w:val="25"/>
          <w:szCs w:val="25"/>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14:paraId="27F8451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в случае увеличения бюджетных ассигнований муниципального дорожного фонда на сумму не использованных в отчётном финансовом году аналогичных бюджетных ассигнований.</w:t>
      </w:r>
    </w:p>
    <w:p w14:paraId="7A7E5A17" w14:textId="234B4A0C"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2.В показатели сводной бюджетной росписи местного бюджета могут быть внесены изменения в соответствии с решениями руководителя финансового органа без внесения изменений в настоящее Решение по основаниям, установленным частью 7 статьи 22 главы 5 Положения </w:t>
      </w:r>
      <w:r w:rsidR="006F0FF8" w:rsidRPr="006F0FF8">
        <w:rPr>
          <w:rFonts w:ascii="Times New Roman" w:eastAsia="Times New Roman" w:hAnsi="Times New Roman" w:cs="Times New Roman"/>
          <w:sz w:val="25"/>
          <w:szCs w:val="25"/>
          <w:lang w:eastAsia="ru-RU"/>
        </w:rPr>
        <w:t>«О</w:t>
      </w:r>
      <w:r w:rsidRPr="006C04C3">
        <w:rPr>
          <w:rFonts w:ascii="Times New Roman" w:eastAsia="Times New Roman" w:hAnsi="Times New Roman" w:cs="Times New Roman"/>
          <w:sz w:val="25"/>
          <w:szCs w:val="25"/>
          <w:lang w:eastAsia="ru-RU"/>
        </w:rPr>
        <w:t xml:space="preserve"> бюджетном процессе в муниципальном образовании «Невельский городской округ», утвержденного Решением Собрания Невельского городского округа от 03.10.2018</w:t>
      </w:r>
      <w:r w:rsidR="006F0FF8" w:rsidRPr="006F0FF8">
        <w:rPr>
          <w:rFonts w:ascii="Times New Roman" w:eastAsia="Times New Roman" w:hAnsi="Times New Roman" w:cs="Times New Roman"/>
          <w:sz w:val="25"/>
          <w:szCs w:val="25"/>
          <w:lang w:eastAsia="ru-RU"/>
        </w:rPr>
        <w:t>г.</w:t>
      </w:r>
      <w:r w:rsidRPr="006C04C3">
        <w:rPr>
          <w:rFonts w:ascii="Times New Roman" w:eastAsia="Times New Roman" w:hAnsi="Times New Roman" w:cs="Times New Roman"/>
          <w:sz w:val="25"/>
          <w:szCs w:val="25"/>
          <w:lang w:eastAsia="ru-RU"/>
        </w:rPr>
        <w:t xml:space="preserve"> № 522.</w:t>
      </w:r>
    </w:p>
    <w:p w14:paraId="5C53180B"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12.</w:t>
      </w:r>
    </w:p>
    <w:p w14:paraId="7ACE4937"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Установить, что областные нормативные правовые акты, влекущие дополнительные расходы за счет средств местного бюджета Невельского городского округа на 2022 год и на плановый период 2023 и 2024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сокращения расходов по конкретным разделам и подразделам местного бюджета, а также после внесения соответствующих изменений в настоящее решение.</w:t>
      </w:r>
    </w:p>
    <w:p w14:paraId="56DBC069"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Не допускать установления расходных обязательств за счет средств местного бюджета, подлежащих исполнению за счет межбюджетных трансфертов (субсидий, </w:t>
      </w:r>
      <w:r w:rsidRPr="006C04C3">
        <w:rPr>
          <w:rFonts w:ascii="Times New Roman" w:eastAsia="Times New Roman" w:hAnsi="Times New Roman" w:cs="Times New Roman"/>
          <w:sz w:val="25"/>
          <w:szCs w:val="25"/>
          <w:lang w:eastAsia="ru-RU"/>
        </w:rPr>
        <w:lastRenderedPageBreak/>
        <w:t>субвенций) областного бюджета Сахалинской области и других бюджетов бюджетной системы Российской Федерации.</w:t>
      </w:r>
    </w:p>
    <w:p w14:paraId="477158AE"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13.</w:t>
      </w:r>
    </w:p>
    <w:p w14:paraId="6263F19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В случае, если нормативные правовые акты органов местного самоуправления Невельского городского округа, устанавливающие бюджетные обязательства, реализация которых обеспечивается за счет средств местного бюджета Невельского городского округа, противоречат Решению Собрания Невельского городского округа «О местном бюджете Невельского городского округа на 2022 год и на плановый период 2023 и 2024 годов», применяется настоящее Решение.</w:t>
      </w:r>
    </w:p>
    <w:p w14:paraId="2F36FFCC"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14.</w:t>
      </w:r>
    </w:p>
    <w:p w14:paraId="6C0010D2"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В случае если реализация нормативного правового акта частично (не в полной мере) обеспечена источниками финансирования в местном бюджете Невельского городского округа на 2022 год и на плановый период 2023 и 2024 годов, такой нормативный правовой акт реализуется и применяется в пределах средств, предусмотренных Решением Собрания Невельского городского округа «О местном бюджете Невельского городского округа на 2022 год и на плановый период 2023 и 2024 годов».</w:t>
      </w:r>
    </w:p>
    <w:p w14:paraId="59922EB7" w14:textId="77777777" w:rsidR="006C04C3" w:rsidRPr="006C04C3" w:rsidRDefault="006C04C3" w:rsidP="006C04C3">
      <w:pPr>
        <w:spacing w:after="0" w:line="240" w:lineRule="auto"/>
        <w:ind w:firstLine="709"/>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15.</w:t>
      </w:r>
    </w:p>
    <w:p w14:paraId="58170802" w14:textId="77777777" w:rsidR="006C04C3" w:rsidRPr="006C04C3" w:rsidRDefault="006C04C3" w:rsidP="006C04C3">
      <w:pPr>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1.Установить, что субсидии из местного бюджета Невельского городского округа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связанных с:</w:t>
      </w:r>
    </w:p>
    <w:p w14:paraId="069B134A" w14:textId="77777777" w:rsidR="006C04C3" w:rsidRPr="006C04C3" w:rsidRDefault="006C04C3" w:rsidP="006C04C3">
      <w:pPr>
        <w:tabs>
          <w:tab w:val="left" w:pos="709"/>
        </w:tabs>
        <w:spacing w:after="0" w:line="240" w:lineRule="auto"/>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ab/>
        <w:t>1) осуществлением внутримуниципальных перевозок пассажиров общественным автомобильным транспортом, в том числе затрат на комфортное пребывание пассажиров в автобусных павильонах;</w:t>
      </w:r>
    </w:p>
    <w:p w14:paraId="063FBA34"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2) обслуживанием муниципальных сетей наружного освещения;</w:t>
      </w:r>
    </w:p>
    <w:p w14:paraId="55D718D5"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3) проведением капитального ремонта жилищного фонда многоквартирных домов;</w:t>
      </w:r>
    </w:p>
    <w:p w14:paraId="37E08935"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4) проведением ремонта общего имущества многоквартирных домов;</w:t>
      </w:r>
    </w:p>
    <w:p w14:paraId="3BFC8A53"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5) перевозкой студентов из малоимущих семей;</w:t>
      </w:r>
    </w:p>
    <w:p w14:paraId="62536459"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6) доставкой в морг умерших, не имеющих супруга, близких родственников, законного представителя или иного лица, взявшего на себя обязанность осуществить погребение;</w:t>
      </w:r>
    </w:p>
    <w:p w14:paraId="343D8E23"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7) оказанием услуги бань отдельным категориям граждан;</w:t>
      </w:r>
    </w:p>
    <w:p w14:paraId="3882AC75"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rPr>
        <w:t xml:space="preserve">8) </w:t>
      </w:r>
      <w:r w:rsidRPr="006C04C3">
        <w:rPr>
          <w:rFonts w:ascii="Times New Roman" w:eastAsia="Times New Roman" w:hAnsi="Times New Roman" w:cs="Times New Roman"/>
          <w:sz w:val="25"/>
          <w:szCs w:val="25"/>
          <w:lang w:eastAsia="ru-RU"/>
        </w:rPr>
        <w:t>оказанием услуг бань населению, в части экономически обоснованных затрат по содержанию бань;</w:t>
      </w:r>
    </w:p>
    <w:p w14:paraId="081ED2E2"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9) производством (реализацией) товаров, выполнением работ, оказанием услуг в сфере жилищно-коммунального хозяйства;</w:t>
      </w:r>
    </w:p>
    <w:p w14:paraId="218CDB6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10) организацией физкультурно-оздоровительной работы по месту жительства граждан в муниципальном образовании «Невельский городской округ». </w:t>
      </w:r>
    </w:p>
    <w:p w14:paraId="33CACEB2"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lastRenderedPageBreak/>
        <w:t>11) приобретением оборудования субъектами малого и среднего предпринимательства;</w:t>
      </w:r>
    </w:p>
    <w:p w14:paraId="0668644D" w14:textId="77777777" w:rsidR="006C04C3" w:rsidRPr="006C04C3" w:rsidRDefault="006C04C3" w:rsidP="006C04C3">
      <w:pPr>
        <w:spacing w:line="240" w:lineRule="auto"/>
        <w:ind w:firstLine="709"/>
        <w:contextualSpacing/>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rPr>
        <w:t xml:space="preserve">12) </w:t>
      </w:r>
      <w:r w:rsidRPr="006C04C3">
        <w:rPr>
          <w:rFonts w:ascii="Times New Roman" w:eastAsia="Times New Roman" w:hAnsi="Times New Roman" w:cs="Times New Roman"/>
          <w:sz w:val="25"/>
          <w:szCs w:val="25"/>
          <w:lang w:eastAsia="ru-RU"/>
        </w:rPr>
        <w:t>прохождением процедур подтверждения соответствия или получения аттестата аккредитации, лицензий, деклараций, сертификатов, регистрационных удостоверений в уполномоченных органах на соответствие продукции, товаров, оборудования и услуг требованиям законодательства Российской Федерации, а также с получением сертификатов, регистрационных удостоверений по системе менеджмента качества в соответствии с международными стандартами субъектами малого и среднего предпринимательства;</w:t>
      </w:r>
    </w:p>
    <w:p w14:paraId="6DDC8515"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13) открытием собственного дела начинающими субъектами малого предпринимательства;</w:t>
      </w:r>
    </w:p>
    <w:p w14:paraId="3FEA6FCA"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14) осуществлением деятельности социально ориентированных объектов розничной торговли продовольственными товарами (социальный магазин), лекарственными средствами (социальная аптека) и объектов бытового обслуживания населения (социальная парикмахерская, социальная баня) субъектами малого и среднего предпринимательства;</w:t>
      </w:r>
    </w:p>
    <w:p w14:paraId="1FCF6749" w14:textId="77777777" w:rsidR="006C04C3" w:rsidRPr="006C04C3" w:rsidRDefault="006C04C3" w:rsidP="006C04C3">
      <w:pPr>
        <w:spacing w:line="240" w:lineRule="auto"/>
        <w:ind w:firstLine="709"/>
        <w:contextualSpacing/>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15) уплатой процентов по кредитам, полученным в российских кредитных организациях субъектами малого и среднего предпринимательства;</w:t>
      </w:r>
    </w:p>
    <w:p w14:paraId="72BA1942"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16) содержанием коров и северных оленей гражданам, ведущим личное подсобное хозяйство;</w:t>
      </w:r>
    </w:p>
    <w:p w14:paraId="6867EC97" w14:textId="77777777" w:rsidR="006C04C3" w:rsidRPr="006C04C3" w:rsidRDefault="006C04C3" w:rsidP="006C04C3">
      <w:pPr>
        <w:tabs>
          <w:tab w:val="left" w:pos="709"/>
        </w:tabs>
        <w:spacing w:after="0" w:line="240" w:lineRule="auto"/>
        <w:ind w:firstLine="709"/>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17) поставкой в централизованном порядке для личных подсобных хозяйств комбикормов для сельскохозяйственных животных и птицы, а также фуражного зерна для птицы.</w:t>
      </w:r>
    </w:p>
    <w:p w14:paraId="75EC412E" w14:textId="77777777" w:rsidR="006C04C3" w:rsidRPr="006C04C3" w:rsidRDefault="006C04C3" w:rsidP="006C04C3">
      <w:pPr>
        <w:tabs>
          <w:tab w:val="left" w:pos="709"/>
        </w:tabs>
        <w:spacing w:after="0" w:line="240" w:lineRule="auto"/>
        <w:jc w:val="both"/>
        <w:rPr>
          <w:rFonts w:ascii="Times New Roman" w:eastAsia="Times New Roman" w:hAnsi="Times New Roman" w:cs="Times New Roman"/>
          <w:sz w:val="25"/>
          <w:szCs w:val="25"/>
        </w:rPr>
      </w:pPr>
      <w:r w:rsidRPr="006C04C3">
        <w:rPr>
          <w:rFonts w:ascii="Times New Roman" w:eastAsia="Times New Roman" w:hAnsi="Times New Roman" w:cs="Times New Roman"/>
          <w:sz w:val="25"/>
          <w:szCs w:val="25"/>
        </w:rPr>
        <w:tab/>
        <w:t>2.Порядок предоставления и возврата субсидий, предусмотренных частью 1 настоящей статьи (в случае нарушений условий предоставления), осуществляется в порядке, установленном администрацией Невельского городского округа.</w:t>
      </w:r>
    </w:p>
    <w:p w14:paraId="038D8A3C" w14:textId="77777777" w:rsidR="006C04C3" w:rsidRPr="006C04C3" w:rsidRDefault="006C04C3" w:rsidP="006C04C3">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 xml:space="preserve">           Статья 16.</w:t>
      </w:r>
      <w:r w:rsidRPr="006C04C3">
        <w:rPr>
          <w:rFonts w:ascii="Times New Roman" w:eastAsia="Times New Roman" w:hAnsi="Times New Roman" w:cs="Times New Roman"/>
          <w:sz w:val="25"/>
          <w:szCs w:val="25"/>
          <w:lang w:eastAsia="ru-RU"/>
        </w:rPr>
        <w:t xml:space="preserve"> </w:t>
      </w:r>
    </w:p>
    <w:p w14:paraId="67FCD179" w14:textId="77777777" w:rsidR="006C04C3" w:rsidRPr="006C04C3" w:rsidRDefault="006C04C3" w:rsidP="006C04C3">
      <w:pPr>
        <w:tabs>
          <w:tab w:val="left" w:pos="720"/>
          <w:tab w:val="left" w:pos="882"/>
          <w:tab w:val="left" w:pos="1918"/>
          <w:tab w:val="left" w:pos="3261"/>
          <w:tab w:val="left" w:pos="3969"/>
          <w:tab w:val="left" w:pos="6096"/>
        </w:tabs>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      </w:t>
      </w:r>
      <w:r w:rsidRPr="006C04C3">
        <w:rPr>
          <w:rFonts w:ascii="Times New Roman" w:eastAsia="Times New Roman" w:hAnsi="Times New Roman" w:cs="Times New Roman"/>
          <w:sz w:val="25"/>
          <w:szCs w:val="25"/>
          <w:lang w:eastAsia="ru-RU"/>
        </w:rPr>
        <w:tab/>
        <w:t>1.Установить, что субсидии из местного бюджета Невельского городского округа предоставляются некоммерческим организациям, не являющимися казёнными учреждениями:</w:t>
      </w:r>
    </w:p>
    <w:p w14:paraId="68FCF934" w14:textId="77777777" w:rsidR="006C04C3" w:rsidRPr="006C04C3" w:rsidRDefault="006C04C3" w:rsidP="006C04C3">
      <w:pPr>
        <w:tabs>
          <w:tab w:val="left" w:pos="720"/>
        </w:tabs>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        </w:t>
      </w:r>
      <w:r w:rsidRPr="006C04C3">
        <w:rPr>
          <w:rFonts w:ascii="Times New Roman" w:eastAsia="Times New Roman" w:hAnsi="Times New Roman" w:cs="Times New Roman"/>
          <w:sz w:val="25"/>
          <w:szCs w:val="25"/>
          <w:lang w:eastAsia="ru-RU"/>
        </w:rPr>
        <w:tab/>
        <w:t>-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14:paraId="4BF12F75" w14:textId="77777777" w:rsidR="006C04C3" w:rsidRPr="006C04C3" w:rsidRDefault="006C04C3" w:rsidP="006C04C3">
      <w:pPr>
        <w:tabs>
          <w:tab w:val="left" w:pos="720"/>
        </w:tabs>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      </w:t>
      </w:r>
      <w:r w:rsidRPr="006C04C3">
        <w:rPr>
          <w:rFonts w:ascii="Times New Roman" w:eastAsia="Times New Roman" w:hAnsi="Times New Roman" w:cs="Times New Roman"/>
          <w:sz w:val="25"/>
          <w:szCs w:val="25"/>
          <w:lang w:eastAsia="ru-RU"/>
        </w:rPr>
        <w:tab/>
        <w:t>- бюджетным и автономным учреждениям на иные цели;</w:t>
      </w:r>
    </w:p>
    <w:p w14:paraId="7EB68719" w14:textId="77777777" w:rsidR="006C04C3" w:rsidRPr="006C04C3" w:rsidRDefault="006C04C3" w:rsidP="006C04C3">
      <w:pPr>
        <w:tabs>
          <w:tab w:val="left" w:pos="720"/>
        </w:tabs>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rPr>
        <w:tab/>
        <w:t>- некоммерческими организациям, не являющимся государственными (муниципальными) учреждениями, на осуществление уставной деятельности общественных организаций</w:t>
      </w:r>
      <w:r w:rsidRPr="006C04C3">
        <w:rPr>
          <w:rFonts w:ascii="Times New Roman" w:eastAsia="Times New Roman" w:hAnsi="Times New Roman" w:cs="Times New Roman"/>
          <w:sz w:val="25"/>
          <w:szCs w:val="25"/>
          <w:lang w:eastAsia="ru-RU"/>
        </w:rPr>
        <w:t xml:space="preserve">. </w:t>
      </w:r>
    </w:p>
    <w:p w14:paraId="3B69C3FE" w14:textId="1E70B456" w:rsidR="006C04C3" w:rsidRPr="006C04C3" w:rsidRDefault="006C04C3" w:rsidP="006C04C3">
      <w:pPr>
        <w:tabs>
          <w:tab w:val="left" w:pos="720"/>
        </w:tabs>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     </w:t>
      </w:r>
      <w:r w:rsidRPr="006C04C3">
        <w:rPr>
          <w:rFonts w:ascii="Times New Roman" w:eastAsia="Times New Roman" w:hAnsi="Times New Roman" w:cs="Times New Roman"/>
          <w:sz w:val="25"/>
          <w:szCs w:val="25"/>
          <w:lang w:eastAsia="ru-RU"/>
        </w:rPr>
        <w:tab/>
        <w:t xml:space="preserve">2.Порядок определения объёма и условия предоставления субсидий, указанных в части 1 </w:t>
      </w:r>
      <w:r w:rsidR="006F0FF8" w:rsidRPr="006F0FF8">
        <w:rPr>
          <w:rFonts w:ascii="Times New Roman" w:eastAsia="Times New Roman" w:hAnsi="Times New Roman" w:cs="Times New Roman"/>
          <w:sz w:val="25"/>
          <w:szCs w:val="25"/>
          <w:lang w:eastAsia="ru-RU"/>
        </w:rPr>
        <w:t>настоящей статьи,</w:t>
      </w:r>
      <w:r w:rsidRPr="006C04C3">
        <w:rPr>
          <w:rFonts w:ascii="Times New Roman" w:eastAsia="Times New Roman" w:hAnsi="Times New Roman" w:cs="Times New Roman"/>
          <w:sz w:val="25"/>
          <w:szCs w:val="25"/>
          <w:lang w:eastAsia="ru-RU"/>
        </w:rPr>
        <w:t xml:space="preserve"> устанавливается администрацией Невельского городского округа.</w:t>
      </w:r>
    </w:p>
    <w:p w14:paraId="6390AF21" w14:textId="77777777" w:rsidR="006C04C3" w:rsidRPr="006C04C3" w:rsidRDefault="006C04C3" w:rsidP="006C04C3">
      <w:pPr>
        <w:spacing w:after="0" w:line="240" w:lineRule="auto"/>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ab/>
      </w:r>
      <w:r w:rsidRPr="006C04C3">
        <w:rPr>
          <w:rFonts w:ascii="Times New Roman" w:eastAsia="Times New Roman" w:hAnsi="Times New Roman" w:cs="Times New Roman"/>
          <w:b/>
          <w:sz w:val="25"/>
          <w:szCs w:val="25"/>
          <w:lang w:eastAsia="ru-RU"/>
        </w:rPr>
        <w:t>Статья 17.</w:t>
      </w:r>
    </w:p>
    <w:p w14:paraId="409B663F" w14:textId="37FEA47F"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Установить, что заключение и оплата казёнными учреждениями, органами местного самоуправления муниципальных контрактов, иных договоров, подлежащих исполнению за счёт </w:t>
      </w:r>
      <w:r w:rsidR="006F0FF8" w:rsidRPr="006F0FF8">
        <w:rPr>
          <w:rFonts w:ascii="Times New Roman" w:eastAsia="Times New Roman" w:hAnsi="Times New Roman" w:cs="Times New Roman"/>
          <w:sz w:val="25"/>
          <w:szCs w:val="25"/>
          <w:lang w:eastAsia="ru-RU"/>
        </w:rPr>
        <w:t>бюджетных средств,</w:t>
      </w:r>
      <w:r w:rsidRPr="006C04C3">
        <w:rPr>
          <w:rFonts w:ascii="Times New Roman" w:eastAsia="Times New Roman" w:hAnsi="Times New Roman" w:cs="Times New Roman"/>
          <w:sz w:val="25"/>
          <w:szCs w:val="25"/>
          <w:lang w:eastAsia="ru-RU"/>
        </w:rPr>
        <w:t xml:space="preserve"> производятся в соответствии с нормами статьи 161 Бюджетного кодекса Российской Федерации.</w:t>
      </w:r>
    </w:p>
    <w:p w14:paraId="24AE4FE3"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18.</w:t>
      </w:r>
    </w:p>
    <w:p w14:paraId="4E3B7881"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1.Утвердить верхний предел муниципального внутреннего долга Невельского городского округа:</w:t>
      </w:r>
    </w:p>
    <w:p w14:paraId="5A8AB9D0"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1) на 01 января 2023 года в сумме 20 909,4 тыс.рублей, в том числе верхний предел по муниципальным гарантиям на 01 января 2022 года в сумме 0 тыс.рублей;</w:t>
      </w:r>
    </w:p>
    <w:p w14:paraId="17074F4F"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lastRenderedPageBreak/>
        <w:t>2) на 01 января 2024 года в сумме 0 тыс.рублей, в том числе верхний предел по муниципальным гарантиям на 01 января 2023 года в сумме 0 тыс.рублей;</w:t>
      </w:r>
    </w:p>
    <w:p w14:paraId="0E7A4F03"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 на 01 января 2025 года в сумме 0 тыс.рублей, в том числе верхний предел по муниципальным гарантиям на 01 января 2024 года в сумме 0 тыс.рублей.</w:t>
      </w:r>
    </w:p>
    <w:p w14:paraId="0535DA3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 xml:space="preserve">2.Утвердить предельный объем муниципального долга Невельского городского округа на 2022 год в сумме 50 000,0 тыс.рублей, на 2023 год в сумме 50 000,0 тыс.рублей, на 2024 год в сумме 50 000,0 тыс.рублей. </w:t>
      </w:r>
    </w:p>
    <w:p w14:paraId="7E02402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3.Утвердить предельный объем расходов на обслуживание муниципального долга Невельского городского округа на 2022 год в сумме 1 000,0 тыс.рублей, на 2023 год в сумме 1 000,0 тыс.рублей, на 2024 год в сумме 500,0 тыс.рублей.</w:t>
      </w:r>
    </w:p>
    <w:p w14:paraId="376525BD"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19.</w:t>
      </w:r>
    </w:p>
    <w:p w14:paraId="3E659568"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Утвердить Программу муниципальных внутренних заимствований муниципального образования «Невельский городской округ» на 2022 год и на плановый период 2023 и 2024 годов согласно приложению № 6 к настоящему Решению.</w:t>
      </w:r>
    </w:p>
    <w:p w14:paraId="5A219723"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b/>
          <w:sz w:val="25"/>
          <w:szCs w:val="25"/>
          <w:lang w:eastAsia="ru-RU"/>
        </w:rPr>
        <w:t>Статья 20.</w:t>
      </w:r>
    </w:p>
    <w:p w14:paraId="55B00A2E"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Утвердить Программу муниципальных гарантий муниципального образования «Невельский городской округ» на 2022 год и на плановый период 2023 и 2024 годов согласно приложению № 7 к настоящему Решению.</w:t>
      </w:r>
    </w:p>
    <w:p w14:paraId="5D837933" w14:textId="77777777" w:rsidR="006C04C3" w:rsidRPr="006C04C3" w:rsidRDefault="006C04C3" w:rsidP="006C04C3">
      <w:pPr>
        <w:spacing w:after="0" w:line="240" w:lineRule="auto"/>
        <w:ind w:firstLine="708"/>
        <w:jc w:val="both"/>
        <w:rPr>
          <w:rFonts w:ascii="Times New Roman" w:eastAsia="Times New Roman" w:hAnsi="Times New Roman" w:cs="Times New Roman"/>
          <w:b/>
          <w:sz w:val="25"/>
          <w:szCs w:val="25"/>
          <w:lang w:eastAsia="ru-RU"/>
        </w:rPr>
      </w:pPr>
      <w:r w:rsidRPr="006C04C3">
        <w:rPr>
          <w:rFonts w:ascii="Times New Roman" w:eastAsia="Times New Roman" w:hAnsi="Times New Roman" w:cs="Times New Roman"/>
          <w:b/>
          <w:sz w:val="25"/>
          <w:szCs w:val="25"/>
          <w:lang w:eastAsia="ru-RU"/>
        </w:rPr>
        <w:t>Статья 21.</w:t>
      </w:r>
    </w:p>
    <w:p w14:paraId="17CD8859" w14:textId="77777777" w:rsidR="006C04C3" w:rsidRPr="006C04C3" w:rsidRDefault="006C04C3" w:rsidP="006C04C3">
      <w:pPr>
        <w:spacing w:after="0" w:line="240" w:lineRule="auto"/>
        <w:ind w:firstLine="708"/>
        <w:jc w:val="both"/>
        <w:rPr>
          <w:rFonts w:ascii="Times New Roman" w:eastAsia="Times New Roman" w:hAnsi="Times New Roman" w:cs="Times New Roman"/>
          <w:sz w:val="25"/>
          <w:szCs w:val="25"/>
          <w:lang w:eastAsia="ru-RU"/>
        </w:rPr>
      </w:pPr>
      <w:r w:rsidRPr="006C04C3">
        <w:rPr>
          <w:rFonts w:ascii="Times New Roman" w:eastAsia="Times New Roman" w:hAnsi="Times New Roman" w:cs="Times New Roman"/>
          <w:sz w:val="25"/>
          <w:szCs w:val="25"/>
          <w:lang w:eastAsia="ru-RU"/>
        </w:rPr>
        <w:t>Утвердить источники финансирования дефицита местного бюджета Невельского городского округа на 2022 год и на плановый период 2023 и 2024 годов согласно приложению № 8 к настоящему Решению.</w:t>
      </w:r>
    </w:p>
    <w:p w14:paraId="1402A696" w14:textId="77777777" w:rsidR="004D40F3" w:rsidRPr="006F0FF8" w:rsidRDefault="004D40F3" w:rsidP="004D40F3">
      <w:pPr>
        <w:spacing w:after="0" w:line="240" w:lineRule="auto"/>
        <w:ind w:firstLine="708"/>
        <w:jc w:val="both"/>
        <w:rPr>
          <w:rFonts w:ascii="Times New Roman" w:eastAsia="Times New Roman" w:hAnsi="Times New Roman" w:cs="Times New Roman"/>
          <w:b/>
          <w:sz w:val="25"/>
          <w:szCs w:val="25"/>
          <w:lang w:eastAsia="ru-RU"/>
        </w:rPr>
      </w:pPr>
      <w:r w:rsidRPr="006F0FF8">
        <w:rPr>
          <w:rFonts w:ascii="Times New Roman" w:eastAsia="Times New Roman" w:hAnsi="Times New Roman" w:cs="Times New Roman"/>
          <w:b/>
          <w:sz w:val="25"/>
          <w:szCs w:val="25"/>
          <w:lang w:eastAsia="ru-RU"/>
        </w:rPr>
        <w:t>Статья 22.</w:t>
      </w:r>
    </w:p>
    <w:p w14:paraId="44BD7C1E" w14:textId="77777777" w:rsidR="004D40F3" w:rsidRPr="006F0FF8" w:rsidRDefault="004D40F3" w:rsidP="004D40F3">
      <w:pPr>
        <w:spacing w:after="0" w:line="240" w:lineRule="auto"/>
        <w:ind w:firstLine="708"/>
        <w:jc w:val="both"/>
        <w:rPr>
          <w:rFonts w:ascii="Times New Roman" w:eastAsia="Times New Roman" w:hAnsi="Times New Roman" w:cs="Times New Roman"/>
          <w:sz w:val="25"/>
          <w:szCs w:val="25"/>
          <w:lang w:eastAsia="ru-RU"/>
        </w:rPr>
      </w:pPr>
      <w:r w:rsidRPr="006F0FF8">
        <w:rPr>
          <w:rFonts w:ascii="Times New Roman" w:eastAsia="Times New Roman" w:hAnsi="Times New Roman" w:cs="Times New Roman"/>
          <w:sz w:val="25"/>
          <w:szCs w:val="25"/>
          <w:lang w:eastAsia="ru-RU"/>
        </w:rPr>
        <w:t>1.Настоящее Решение вступает в силу с 01 января 2022 года.</w:t>
      </w:r>
    </w:p>
    <w:p w14:paraId="6641D633" w14:textId="77777777" w:rsidR="00BA5FA4" w:rsidRDefault="004D40F3" w:rsidP="004D40F3">
      <w:pPr>
        <w:spacing w:after="0" w:line="240" w:lineRule="auto"/>
        <w:ind w:firstLine="708"/>
        <w:jc w:val="both"/>
        <w:rPr>
          <w:rFonts w:ascii="Times New Roman" w:eastAsia="Times New Roman" w:hAnsi="Times New Roman" w:cs="Times New Roman"/>
          <w:sz w:val="25"/>
          <w:szCs w:val="25"/>
          <w:lang w:eastAsia="ru-RU"/>
        </w:rPr>
      </w:pPr>
      <w:r w:rsidRPr="006F0FF8">
        <w:rPr>
          <w:rFonts w:ascii="Times New Roman" w:eastAsia="Times New Roman" w:hAnsi="Times New Roman" w:cs="Times New Roman"/>
          <w:sz w:val="25"/>
          <w:szCs w:val="25"/>
          <w:lang w:eastAsia="ru-RU"/>
        </w:rPr>
        <w:t xml:space="preserve">2.Настоящее Решение </w:t>
      </w:r>
      <w:r w:rsidR="00BA5FA4">
        <w:rPr>
          <w:rFonts w:ascii="Times New Roman" w:eastAsia="Times New Roman" w:hAnsi="Times New Roman" w:cs="Times New Roman"/>
          <w:sz w:val="25"/>
          <w:szCs w:val="25"/>
          <w:lang w:eastAsia="ru-RU"/>
        </w:rPr>
        <w:t>опубликовать в газете «Невельские новости».</w:t>
      </w:r>
    </w:p>
    <w:p w14:paraId="38F8017F" w14:textId="77777777" w:rsidR="006F0FF8" w:rsidRPr="006F0FF8" w:rsidRDefault="006F0FF8" w:rsidP="004D40F3">
      <w:pPr>
        <w:spacing w:after="0" w:line="240" w:lineRule="auto"/>
        <w:jc w:val="both"/>
        <w:rPr>
          <w:rFonts w:ascii="Times New Roman" w:eastAsia="Times New Roman" w:hAnsi="Times New Roman" w:cs="Times New Roman"/>
          <w:sz w:val="25"/>
          <w:szCs w:val="25"/>
          <w:lang w:eastAsia="ru-RU"/>
        </w:rPr>
      </w:pPr>
    </w:p>
    <w:p w14:paraId="550F23C6" w14:textId="77777777" w:rsidR="004D40F3" w:rsidRPr="006F0FF8" w:rsidRDefault="004D40F3" w:rsidP="004D40F3">
      <w:pPr>
        <w:spacing w:after="0" w:line="240" w:lineRule="auto"/>
        <w:jc w:val="both"/>
        <w:rPr>
          <w:rFonts w:ascii="Times New Roman" w:eastAsia="Times New Roman" w:hAnsi="Times New Roman" w:cs="Times New Roman"/>
          <w:sz w:val="25"/>
          <w:szCs w:val="25"/>
          <w:lang w:eastAsia="ru-RU"/>
        </w:rPr>
      </w:pPr>
    </w:p>
    <w:p w14:paraId="52D6D58E" w14:textId="77777777" w:rsidR="00062B07" w:rsidRPr="006F0FF8" w:rsidRDefault="00062B07" w:rsidP="004D40F3">
      <w:pPr>
        <w:spacing w:after="0" w:line="240" w:lineRule="auto"/>
        <w:jc w:val="both"/>
        <w:rPr>
          <w:rFonts w:ascii="Times New Roman" w:eastAsia="Times New Roman" w:hAnsi="Times New Roman" w:cs="Times New Roman"/>
          <w:sz w:val="25"/>
          <w:szCs w:val="25"/>
          <w:lang w:eastAsia="ru-RU"/>
        </w:rPr>
      </w:pPr>
    </w:p>
    <w:p w14:paraId="5BC3A6DC" w14:textId="77777777" w:rsidR="004D40F3" w:rsidRPr="006F0FF8" w:rsidRDefault="004D40F3" w:rsidP="004D40F3">
      <w:pPr>
        <w:spacing w:after="0" w:line="240" w:lineRule="auto"/>
        <w:jc w:val="both"/>
        <w:rPr>
          <w:rFonts w:ascii="Times New Roman" w:eastAsia="Times New Roman" w:hAnsi="Times New Roman" w:cs="Times New Roman"/>
          <w:sz w:val="25"/>
          <w:szCs w:val="25"/>
          <w:lang w:eastAsia="ru-RU"/>
        </w:rPr>
      </w:pPr>
    </w:p>
    <w:p w14:paraId="7BE51F9C" w14:textId="77777777" w:rsidR="004D40F3" w:rsidRPr="006F0FF8" w:rsidRDefault="004D40F3" w:rsidP="004D40F3">
      <w:pPr>
        <w:spacing w:after="0" w:line="240" w:lineRule="auto"/>
        <w:jc w:val="both"/>
        <w:rPr>
          <w:rFonts w:ascii="Times New Roman" w:eastAsia="Times New Roman" w:hAnsi="Times New Roman" w:cs="Times New Roman"/>
          <w:sz w:val="25"/>
          <w:szCs w:val="25"/>
          <w:lang w:eastAsia="ru-RU"/>
        </w:rPr>
      </w:pPr>
      <w:r w:rsidRPr="006F0FF8">
        <w:rPr>
          <w:rFonts w:ascii="Times New Roman" w:eastAsia="Times New Roman" w:hAnsi="Times New Roman" w:cs="Times New Roman"/>
          <w:sz w:val="25"/>
          <w:szCs w:val="25"/>
          <w:lang w:eastAsia="ru-RU"/>
        </w:rPr>
        <w:t xml:space="preserve">Председатель Собрания Невельского </w:t>
      </w:r>
    </w:p>
    <w:p w14:paraId="1FFA8DC6" w14:textId="06C35A57" w:rsidR="004D40F3" w:rsidRDefault="004D40F3" w:rsidP="004D40F3">
      <w:pPr>
        <w:spacing w:after="0" w:line="240" w:lineRule="auto"/>
        <w:jc w:val="both"/>
        <w:rPr>
          <w:rFonts w:ascii="Times New Roman" w:eastAsia="Times New Roman" w:hAnsi="Times New Roman" w:cs="Times New Roman"/>
          <w:sz w:val="25"/>
          <w:szCs w:val="25"/>
          <w:lang w:eastAsia="ru-RU"/>
        </w:rPr>
      </w:pPr>
      <w:r w:rsidRPr="006F0FF8">
        <w:rPr>
          <w:rFonts w:ascii="Times New Roman" w:eastAsia="Times New Roman" w:hAnsi="Times New Roman" w:cs="Times New Roman"/>
          <w:sz w:val="25"/>
          <w:szCs w:val="25"/>
          <w:lang w:eastAsia="ru-RU"/>
        </w:rPr>
        <w:t xml:space="preserve">городского округа                                                                                               И.И. Насыпайко </w:t>
      </w:r>
    </w:p>
    <w:p w14:paraId="0F6D8018" w14:textId="16CB7FBB" w:rsidR="00BA5FA4" w:rsidRDefault="00BA5FA4" w:rsidP="004D40F3">
      <w:pPr>
        <w:spacing w:after="0" w:line="240" w:lineRule="auto"/>
        <w:jc w:val="both"/>
        <w:rPr>
          <w:rFonts w:ascii="Times New Roman" w:eastAsia="Times New Roman" w:hAnsi="Times New Roman" w:cs="Times New Roman"/>
          <w:sz w:val="25"/>
          <w:szCs w:val="25"/>
          <w:lang w:eastAsia="ru-RU"/>
        </w:rPr>
      </w:pPr>
    </w:p>
    <w:p w14:paraId="17EFE5EE" w14:textId="77777777" w:rsidR="00062B07" w:rsidRDefault="00062B07" w:rsidP="004D40F3">
      <w:pPr>
        <w:spacing w:after="0" w:line="240" w:lineRule="auto"/>
        <w:jc w:val="both"/>
        <w:rPr>
          <w:rFonts w:ascii="Times New Roman" w:eastAsia="Times New Roman" w:hAnsi="Times New Roman" w:cs="Times New Roman"/>
          <w:sz w:val="25"/>
          <w:szCs w:val="25"/>
          <w:lang w:eastAsia="ru-RU"/>
        </w:rPr>
      </w:pPr>
    </w:p>
    <w:p w14:paraId="061C6A9C" w14:textId="0B328B36" w:rsidR="00BA5FA4" w:rsidRDefault="00BA5FA4" w:rsidP="004D40F3">
      <w:pPr>
        <w:spacing w:after="0" w:line="240" w:lineRule="auto"/>
        <w:jc w:val="both"/>
        <w:rPr>
          <w:rFonts w:ascii="Times New Roman" w:eastAsia="Times New Roman" w:hAnsi="Times New Roman" w:cs="Times New Roman"/>
          <w:sz w:val="25"/>
          <w:szCs w:val="25"/>
          <w:lang w:eastAsia="ru-RU"/>
        </w:rPr>
      </w:pPr>
    </w:p>
    <w:p w14:paraId="2D13545C" w14:textId="340B04E5" w:rsidR="00BA5FA4" w:rsidRDefault="00BA5FA4" w:rsidP="004D40F3">
      <w:pPr>
        <w:spacing w:after="0" w:line="240" w:lineRule="auto"/>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Мэр Невельского городского округа                                                           А.В. Шабельник </w:t>
      </w:r>
    </w:p>
    <w:p w14:paraId="25C78B54" w14:textId="7338C997" w:rsidR="00BA5FA4" w:rsidRDefault="00BA5FA4" w:rsidP="004D40F3">
      <w:pPr>
        <w:spacing w:after="0" w:line="240" w:lineRule="auto"/>
        <w:jc w:val="both"/>
        <w:rPr>
          <w:rFonts w:ascii="Times New Roman" w:eastAsia="Times New Roman" w:hAnsi="Times New Roman" w:cs="Times New Roman"/>
          <w:sz w:val="25"/>
          <w:szCs w:val="25"/>
          <w:lang w:eastAsia="ru-RU"/>
        </w:rPr>
      </w:pPr>
    </w:p>
    <w:p w14:paraId="649A88E9" w14:textId="306263FC" w:rsidR="00BA5FA4" w:rsidRPr="00DA1C1F" w:rsidRDefault="00BA5FA4" w:rsidP="004D40F3">
      <w:pPr>
        <w:spacing w:after="0" w:line="240" w:lineRule="auto"/>
        <w:jc w:val="both"/>
        <w:rPr>
          <w:rFonts w:ascii="Times New Roman" w:eastAsia="Times New Roman" w:hAnsi="Times New Roman" w:cs="Times New Roman"/>
          <w:sz w:val="25"/>
          <w:szCs w:val="25"/>
          <w:u w:val="single"/>
          <w:lang w:eastAsia="ru-RU"/>
        </w:rPr>
      </w:pPr>
      <w:r>
        <w:rPr>
          <w:rFonts w:ascii="Times New Roman" w:eastAsia="Times New Roman" w:hAnsi="Times New Roman" w:cs="Times New Roman"/>
          <w:sz w:val="25"/>
          <w:szCs w:val="25"/>
          <w:lang w:eastAsia="ru-RU"/>
        </w:rPr>
        <w:t>«</w:t>
      </w:r>
      <w:r w:rsidR="00DA1C1F">
        <w:rPr>
          <w:rFonts w:ascii="Times New Roman" w:eastAsia="Times New Roman" w:hAnsi="Times New Roman" w:cs="Times New Roman"/>
          <w:sz w:val="25"/>
          <w:szCs w:val="25"/>
          <w:u w:val="single"/>
          <w:lang w:eastAsia="ru-RU"/>
        </w:rPr>
        <w:t xml:space="preserve">  21  </w:t>
      </w:r>
      <w:r>
        <w:rPr>
          <w:rFonts w:ascii="Times New Roman" w:eastAsia="Times New Roman" w:hAnsi="Times New Roman" w:cs="Times New Roman"/>
          <w:sz w:val="25"/>
          <w:szCs w:val="25"/>
          <w:lang w:eastAsia="ru-RU"/>
        </w:rPr>
        <w:t xml:space="preserve">» </w:t>
      </w:r>
      <w:r w:rsidR="00DA1C1F">
        <w:rPr>
          <w:rFonts w:ascii="Times New Roman" w:eastAsia="Times New Roman" w:hAnsi="Times New Roman" w:cs="Times New Roman"/>
          <w:sz w:val="25"/>
          <w:szCs w:val="25"/>
          <w:u w:val="single"/>
          <w:lang w:eastAsia="ru-RU"/>
        </w:rPr>
        <w:t xml:space="preserve">  декабря  </w:t>
      </w:r>
      <w:r>
        <w:rPr>
          <w:rFonts w:ascii="Times New Roman" w:eastAsia="Times New Roman" w:hAnsi="Times New Roman" w:cs="Times New Roman"/>
          <w:sz w:val="25"/>
          <w:szCs w:val="25"/>
          <w:lang w:eastAsia="ru-RU"/>
        </w:rPr>
        <w:t xml:space="preserve"> 2021г. № </w:t>
      </w:r>
      <w:r w:rsidR="00DA1C1F">
        <w:rPr>
          <w:rFonts w:ascii="Times New Roman" w:eastAsia="Times New Roman" w:hAnsi="Times New Roman" w:cs="Times New Roman"/>
          <w:sz w:val="25"/>
          <w:szCs w:val="25"/>
          <w:u w:val="single"/>
          <w:lang w:eastAsia="ru-RU"/>
        </w:rPr>
        <w:t>290</w:t>
      </w:r>
    </w:p>
    <w:p w14:paraId="6A1DA032" w14:textId="77777777" w:rsidR="004D40F3" w:rsidRPr="006F0FF8" w:rsidRDefault="004D40F3" w:rsidP="004D40F3">
      <w:pPr>
        <w:spacing w:after="0" w:line="240" w:lineRule="auto"/>
        <w:ind w:firstLine="708"/>
        <w:jc w:val="both"/>
        <w:rPr>
          <w:rFonts w:ascii="Times New Roman" w:eastAsia="Times New Roman" w:hAnsi="Times New Roman" w:cs="Times New Roman"/>
          <w:b/>
          <w:sz w:val="25"/>
          <w:szCs w:val="25"/>
          <w:lang w:eastAsia="ru-RU"/>
        </w:rPr>
      </w:pPr>
    </w:p>
    <w:p w14:paraId="12501E07" w14:textId="0A217B14" w:rsidR="00CC3A92" w:rsidRDefault="00CC3A92" w:rsidP="00D42CE1">
      <w:pPr>
        <w:spacing w:after="0" w:line="240" w:lineRule="auto"/>
        <w:jc w:val="both"/>
        <w:rPr>
          <w:rFonts w:ascii="Times New Roman" w:eastAsia="Times New Roman" w:hAnsi="Times New Roman" w:cs="Times New Roman"/>
          <w:b/>
          <w:sz w:val="25"/>
          <w:szCs w:val="25"/>
          <w:lang w:eastAsia="ru-RU"/>
        </w:rPr>
      </w:pPr>
    </w:p>
    <w:p w14:paraId="417B71DA" w14:textId="77777777" w:rsidR="00AF48BF" w:rsidRDefault="00AF48BF" w:rsidP="00D42CE1">
      <w:pPr>
        <w:spacing w:after="0" w:line="240" w:lineRule="auto"/>
        <w:jc w:val="both"/>
        <w:rPr>
          <w:rFonts w:ascii="Times New Roman" w:eastAsia="Times New Roman" w:hAnsi="Times New Roman" w:cs="Times New Roman"/>
          <w:b/>
          <w:sz w:val="25"/>
          <w:szCs w:val="25"/>
          <w:lang w:eastAsia="ru-RU"/>
        </w:rPr>
      </w:pPr>
    </w:p>
    <w:p w14:paraId="630CDA50" w14:textId="7F20236C" w:rsidR="00CC3A92" w:rsidRDefault="00CC3A92" w:rsidP="00D42CE1">
      <w:pPr>
        <w:spacing w:after="0" w:line="240" w:lineRule="auto"/>
        <w:jc w:val="both"/>
        <w:rPr>
          <w:rFonts w:ascii="Times New Roman" w:eastAsia="Times New Roman" w:hAnsi="Times New Roman" w:cs="Times New Roman"/>
          <w:b/>
          <w:sz w:val="25"/>
          <w:szCs w:val="25"/>
          <w:lang w:eastAsia="ru-RU"/>
        </w:rPr>
      </w:pPr>
    </w:p>
    <w:p w14:paraId="0EFBE9D0" w14:textId="71458289" w:rsidR="00CC3A92" w:rsidRDefault="00CC3A92" w:rsidP="00D42CE1">
      <w:pPr>
        <w:spacing w:after="0" w:line="240" w:lineRule="auto"/>
        <w:jc w:val="both"/>
        <w:rPr>
          <w:rFonts w:ascii="Times New Roman" w:eastAsia="Times New Roman" w:hAnsi="Times New Roman" w:cs="Times New Roman"/>
          <w:b/>
          <w:sz w:val="25"/>
          <w:szCs w:val="25"/>
          <w:lang w:eastAsia="ru-RU"/>
        </w:rPr>
      </w:pPr>
    </w:p>
    <w:p w14:paraId="12ADC7E5" w14:textId="0FE0AC55" w:rsidR="00CC3A92" w:rsidRDefault="00CC3A92" w:rsidP="00D42CE1">
      <w:pPr>
        <w:spacing w:after="0" w:line="240" w:lineRule="auto"/>
        <w:jc w:val="both"/>
        <w:rPr>
          <w:rFonts w:ascii="Times New Roman" w:eastAsia="Times New Roman" w:hAnsi="Times New Roman" w:cs="Times New Roman"/>
          <w:b/>
          <w:sz w:val="25"/>
          <w:szCs w:val="25"/>
          <w:lang w:eastAsia="ru-RU"/>
        </w:rPr>
      </w:pPr>
    </w:p>
    <w:p w14:paraId="393FF113" w14:textId="65104895" w:rsidR="00F35278" w:rsidRDefault="00F35278" w:rsidP="00D42CE1">
      <w:pPr>
        <w:spacing w:after="0" w:line="240" w:lineRule="auto"/>
        <w:jc w:val="both"/>
        <w:rPr>
          <w:rFonts w:ascii="Times New Roman" w:eastAsia="Times New Roman" w:hAnsi="Times New Roman" w:cs="Times New Roman"/>
          <w:b/>
          <w:sz w:val="25"/>
          <w:szCs w:val="25"/>
          <w:lang w:eastAsia="ru-RU"/>
        </w:rPr>
      </w:pPr>
    </w:p>
    <w:p w14:paraId="3CBD5E6F" w14:textId="47DCAE27" w:rsidR="00F35278" w:rsidRDefault="00F35278" w:rsidP="00D42CE1">
      <w:pPr>
        <w:spacing w:after="0" w:line="240" w:lineRule="auto"/>
        <w:jc w:val="both"/>
        <w:rPr>
          <w:rFonts w:ascii="Times New Roman" w:eastAsia="Times New Roman" w:hAnsi="Times New Roman" w:cs="Times New Roman"/>
          <w:b/>
          <w:sz w:val="25"/>
          <w:szCs w:val="25"/>
          <w:lang w:eastAsia="ru-RU"/>
        </w:rPr>
      </w:pPr>
    </w:p>
    <w:p w14:paraId="7811E23C" w14:textId="77777777" w:rsidR="00F35278" w:rsidRDefault="00F35278" w:rsidP="00D42CE1">
      <w:pPr>
        <w:spacing w:after="0" w:line="240" w:lineRule="auto"/>
        <w:jc w:val="both"/>
        <w:rPr>
          <w:rFonts w:ascii="Times New Roman" w:eastAsia="Times New Roman" w:hAnsi="Times New Roman" w:cs="Times New Roman"/>
          <w:b/>
          <w:sz w:val="25"/>
          <w:szCs w:val="25"/>
          <w:lang w:eastAsia="ru-RU"/>
        </w:rPr>
      </w:pPr>
    </w:p>
    <w:p w14:paraId="6DF6D6C5" w14:textId="77777777" w:rsidR="004D40F3" w:rsidRDefault="004D40F3" w:rsidP="00D42CE1">
      <w:pPr>
        <w:spacing w:after="0" w:line="240" w:lineRule="auto"/>
        <w:jc w:val="both"/>
        <w:rPr>
          <w:rFonts w:ascii="Times New Roman" w:eastAsia="Times New Roman" w:hAnsi="Times New Roman" w:cs="Times New Roman"/>
          <w:b/>
          <w:sz w:val="25"/>
          <w:szCs w:val="25"/>
          <w:lang w:eastAsia="ru-RU"/>
        </w:rPr>
      </w:pPr>
    </w:p>
    <w:p w14:paraId="436FC651" w14:textId="570ECDB7" w:rsidR="00D42CE1" w:rsidRPr="00D42CE1" w:rsidRDefault="00D42CE1" w:rsidP="00D42CE1">
      <w:pPr>
        <w:spacing w:after="0" w:line="240" w:lineRule="auto"/>
        <w:jc w:val="both"/>
        <w:rPr>
          <w:rFonts w:ascii="Times New Roman" w:eastAsia="Times New Roman" w:hAnsi="Times New Roman" w:cs="Times New Roman"/>
          <w:b/>
          <w:sz w:val="25"/>
          <w:szCs w:val="25"/>
          <w:lang w:eastAsia="ru-RU"/>
        </w:rPr>
      </w:pPr>
      <w:r w:rsidRPr="00D42CE1">
        <w:rPr>
          <w:rFonts w:ascii="Times New Roman" w:eastAsia="Times New Roman" w:hAnsi="Times New Roman" w:cs="Times New Roman"/>
          <w:b/>
          <w:sz w:val="25"/>
          <w:szCs w:val="25"/>
          <w:lang w:eastAsia="ru-RU"/>
        </w:rPr>
        <w:t xml:space="preserve">        </w:t>
      </w:r>
    </w:p>
    <w:p w14:paraId="3217FA8D" w14:textId="77777777" w:rsidR="00D42CE1" w:rsidRPr="00D42CE1" w:rsidRDefault="00D42CE1" w:rsidP="00D42CE1">
      <w:pPr>
        <w:spacing w:after="0" w:line="240" w:lineRule="auto"/>
        <w:jc w:val="both"/>
        <w:rPr>
          <w:rFonts w:ascii="Times New Roman" w:eastAsia="Times New Roman" w:hAnsi="Times New Roman" w:cs="Times New Roman"/>
          <w:b/>
          <w:sz w:val="25"/>
          <w:szCs w:val="25"/>
          <w:lang w:eastAsia="ru-RU"/>
        </w:rPr>
      </w:pPr>
    </w:p>
    <w:sectPr w:rsidR="00D42CE1" w:rsidRPr="00D42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37"/>
    <w:rsid w:val="00013C51"/>
    <w:rsid w:val="00027D56"/>
    <w:rsid w:val="0004609D"/>
    <w:rsid w:val="000572FA"/>
    <w:rsid w:val="00062B07"/>
    <w:rsid w:val="00074D00"/>
    <w:rsid w:val="000A1C38"/>
    <w:rsid w:val="000B4012"/>
    <w:rsid w:val="000B54DB"/>
    <w:rsid w:val="000B7AED"/>
    <w:rsid w:val="000D15A0"/>
    <w:rsid w:val="00102A72"/>
    <w:rsid w:val="001144C0"/>
    <w:rsid w:val="00115A37"/>
    <w:rsid w:val="00121F66"/>
    <w:rsid w:val="00145529"/>
    <w:rsid w:val="00174B92"/>
    <w:rsid w:val="001C7431"/>
    <w:rsid w:val="001D7A75"/>
    <w:rsid w:val="001E6F00"/>
    <w:rsid w:val="001F0C02"/>
    <w:rsid w:val="002136BF"/>
    <w:rsid w:val="00224481"/>
    <w:rsid w:val="002A54EB"/>
    <w:rsid w:val="002D46DF"/>
    <w:rsid w:val="002D479A"/>
    <w:rsid w:val="002F53C1"/>
    <w:rsid w:val="00314B71"/>
    <w:rsid w:val="003512BD"/>
    <w:rsid w:val="0035186F"/>
    <w:rsid w:val="00353EBD"/>
    <w:rsid w:val="003600EA"/>
    <w:rsid w:val="00361F7B"/>
    <w:rsid w:val="0036320B"/>
    <w:rsid w:val="003700C5"/>
    <w:rsid w:val="003B4201"/>
    <w:rsid w:val="003C33CB"/>
    <w:rsid w:val="003D52BC"/>
    <w:rsid w:val="003F09A5"/>
    <w:rsid w:val="003F25CA"/>
    <w:rsid w:val="003F6424"/>
    <w:rsid w:val="003F6E6A"/>
    <w:rsid w:val="004506C7"/>
    <w:rsid w:val="00465821"/>
    <w:rsid w:val="00477039"/>
    <w:rsid w:val="00481417"/>
    <w:rsid w:val="004956AB"/>
    <w:rsid w:val="00496264"/>
    <w:rsid w:val="004B0C67"/>
    <w:rsid w:val="004B5985"/>
    <w:rsid w:val="004C13B3"/>
    <w:rsid w:val="004C2F41"/>
    <w:rsid w:val="004C490C"/>
    <w:rsid w:val="004C5880"/>
    <w:rsid w:val="004D40F3"/>
    <w:rsid w:val="004D6FAE"/>
    <w:rsid w:val="00527D61"/>
    <w:rsid w:val="00536A27"/>
    <w:rsid w:val="00557D89"/>
    <w:rsid w:val="005B379B"/>
    <w:rsid w:val="00607FAD"/>
    <w:rsid w:val="006202E5"/>
    <w:rsid w:val="006266C3"/>
    <w:rsid w:val="00651EDB"/>
    <w:rsid w:val="00663A43"/>
    <w:rsid w:val="00693076"/>
    <w:rsid w:val="006A67DA"/>
    <w:rsid w:val="006C04C3"/>
    <w:rsid w:val="006D71CC"/>
    <w:rsid w:val="006F0FF8"/>
    <w:rsid w:val="006F53A4"/>
    <w:rsid w:val="006F7D56"/>
    <w:rsid w:val="00720E77"/>
    <w:rsid w:val="0072256A"/>
    <w:rsid w:val="007274C1"/>
    <w:rsid w:val="00741040"/>
    <w:rsid w:val="00757BB3"/>
    <w:rsid w:val="00790919"/>
    <w:rsid w:val="007B0B0D"/>
    <w:rsid w:val="007B2EA6"/>
    <w:rsid w:val="007B5560"/>
    <w:rsid w:val="007C73C9"/>
    <w:rsid w:val="007E44E2"/>
    <w:rsid w:val="007F40E1"/>
    <w:rsid w:val="008155FE"/>
    <w:rsid w:val="00841B51"/>
    <w:rsid w:val="008617F4"/>
    <w:rsid w:val="00870900"/>
    <w:rsid w:val="00875029"/>
    <w:rsid w:val="008B1E57"/>
    <w:rsid w:val="00925663"/>
    <w:rsid w:val="0094625B"/>
    <w:rsid w:val="00953263"/>
    <w:rsid w:val="00960AA7"/>
    <w:rsid w:val="0097734A"/>
    <w:rsid w:val="00983118"/>
    <w:rsid w:val="009B38A0"/>
    <w:rsid w:val="009D37C9"/>
    <w:rsid w:val="00A47403"/>
    <w:rsid w:val="00A850CD"/>
    <w:rsid w:val="00AB1823"/>
    <w:rsid w:val="00AB23A8"/>
    <w:rsid w:val="00AC19CC"/>
    <w:rsid w:val="00AE156E"/>
    <w:rsid w:val="00AF2A79"/>
    <w:rsid w:val="00AF48BF"/>
    <w:rsid w:val="00B0351C"/>
    <w:rsid w:val="00B25EA2"/>
    <w:rsid w:val="00B63A38"/>
    <w:rsid w:val="00B73986"/>
    <w:rsid w:val="00B868E4"/>
    <w:rsid w:val="00B97354"/>
    <w:rsid w:val="00BA29F1"/>
    <w:rsid w:val="00BA5FA4"/>
    <w:rsid w:val="00BD4F8B"/>
    <w:rsid w:val="00BE53F8"/>
    <w:rsid w:val="00C063F3"/>
    <w:rsid w:val="00C4554F"/>
    <w:rsid w:val="00C5162F"/>
    <w:rsid w:val="00C55E73"/>
    <w:rsid w:val="00CA73C6"/>
    <w:rsid w:val="00CB5EB3"/>
    <w:rsid w:val="00CC3202"/>
    <w:rsid w:val="00CC3A92"/>
    <w:rsid w:val="00CD708A"/>
    <w:rsid w:val="00CE16DF"/>
    <w:rsid w:val="00CE4C03"/>
    <w:rsid w:val="00CF7B2D"/>
    <w:rsid w:val="00D07112"/>
    <w:rsid w:val="00D3787D"/>
    <w:rsid w:val="00D41A46"/>
    <w:rsid w:val="00D42CE1"/>
    <w:rsid w:val="00D4733D"/>
    <w:rsid w:val="00D54E80"/>
    <w:rsid w:val="00DA1C1F"/>
    <w:rsid w:val="00DF70D5"/>
    <w:rsid w:val="00E15F72"/>
    <w:rsid w:val="00E17B83"/>
    <w:rsid w:val="00E21C37"/>
    <w:rsid w:val="00E35273"/>
    <w:rsid w:val="00E50090"/>
    <w:rsid w:val="00E50A1C"/>
    <w:rsid w:val="00E725CE"/>
    <w:rsid w:val="00E87319"/>
    <w:rsid w:val="00E979A2"/>
    <w:rsid w:val="00EA090F"/>
    <w:rsid w:val="00EA26EA"/>
    <w:rsid w:val="00EA7CF6"/>
    <w:rsid w:val="00EB777D"/>
    <w:rsid w:val="00EC0CB8"/>
    <w:rsid w:val="00EC43EB"/>
    <w:rsid w:val="00ED6A16"/>
    <w:rsid w:val="00ED79FD"/>
    <w:rsid w:val="00ED7CB4"/>
    <w:rsid w:val="00EE5FC2"/>
    <w:rsid w:val="00EF090D"/>
    <w:rsid w:val="00EF2597"/>
    <w:rsid w:val="00EF3244"/>
    <w:rsid w:val="00F20C52"/>
    <w:rsid w:val="00F35278"/>
    <w:rsid w:val="00F77A87"/>
    <w:rsid w:val="00F82CE1"/>
    <w:rsid w:val="00F94C3F"/>
    <w:rsid w:val="00FD1D8F"/>
    <w:rsid w:val="00FF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B256"/>
  <w15:chartTrackingRefBased/>
  <w15:docId w15:val="{EA404B2F-9790-4B34-8A04-B3AD05B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2">
    <w:name w:val="Сетка таблицы22"/>
    <w:basedOn w:val="a1"/>
    <w:uiPriority w:val="39"/>
    <w:rsid w:val="00EC43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2D46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8617F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86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6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B379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uiPriority w:val="39"/>
    <w:rsid w:val="00E979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4D40F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76596">
      <w:bodyDiv w:val="1"/>
      <w:marLeft w:val="0"/>
      <w:marRight w:val="0"/>
      <w:marTop w:val="0"/>
      <w:marBottom w:val="0"/>
      <w:divBdr>
        <w:top w:val="none" w:sz="0" w:space="0" w:color="auto"/>
        <w:left w:val="none" w:sz="0" w:space="0" w:color="auto"/>
        <w:bottom w:val="none" w:sz="0" w:space="0" w:color="auto"/>
        <w:right w:val="none" w:sz="0" w:space="0" w:color="auto"/>
      </w:divBdr>
    </w:div>
    <w:div w:id="632946900">
      <w:bodyDiv w:val="1"/>
      <w:marLeft w:val="0"/>
      <w:marRight w:val="0"/>
      <w:marTop w:val="0"/>
      <w:marBottom w:val="0"/>
      <w:divBdr>
        <w:top w:val="none" w:sz="0" w:space="0" w:color="auto"/>
        <w:left w:val="none" w:sz="0" w:space="0" w:color="auto"/>
        <w:bottom w:val="none" w:sz="0" w:space="0" w:color="auto"/>
        <w:right w:val="none" w:sz="0" w:space="0" w:color="auto"/>
      </w:divBdr>
    </w:div>
    <w:div w:id="717095495">
      <w:bodyDiv w:val="1"/>
      <w:marLeft w:val="0"/>
      <w:marRight w:val="0"/>
      <w:marTop w:val="0"/>
      <w:marBottom w:val="0"/>
      <w:divBdr>
        <w:top w:val="none" w:sz="0" w:space="0" w:color="auto"/>
        <w:left w:val="none" w:sz="0" w:space="0" w:color="auto"/>
        <w:bottom w:val="none" w:sz="0" w:space="0" w:color="auto"/>
        <w:right w:val="none" w:sz="0" w:space="0" w:color="auto"/>
      </w:divBdr>
    </w:div>
    <w:div w:id="741173342">
      <w:bodyDiv w:val="1"/>
      <w:marLeft w:val="0"/>
      <w:marRight w:val="0"/>
      <w:marTop w:val="0"/>
      <w:marBottom w:val="0"/>
      <w:divBdr>
        <w:top w:val="none" w:sz="0" w:space="0" w:color="auto"/>
        <w:left w:val="none" w:sz="0" w:space="0" w:color="auto"/>
        <w:bottom w:val="none" w:sz="0" w:space="0" w:color="auto"/>
        <w:right w:val="none" w:sz="0" w:space="0" w:color="auto"/>
      </w:divBdr>
    </w:div>
    <w:div w:id="1023701167">
      <w:bodyDiv w:val="1"/>
      <w:marLeft w:val="0"/>
      <w:marRight w:val="0"/>
      <w:marTop w:val="0"/>
      <w:marBottom w:val="0"/>
      <w:divBdr>
        <w:top w:val="none" w:sz="0" w:space="0" w:color="auto"/>
        <w:left w:val="none" w:sz="0" w:space="0" w:color="auto"/>
        <w:bottom w:val="none" w:sz="0" w:space="0" w:color="auto"/>
        <w:right w:val="none" w:sz="0" w:space="0" w:color="auto"/>
      </w:divBdr>
    </w:div>
    <w:div w:id="1190529405">
      <w:bodyDiv w:val="1"/>
      <w:marLeft w:val="0"/>
      <w:marRight w:val="0"/>
      <w:marTop w:val="0"/>
      <w:marBottom w:val="0"/>
      <w:divBdr>
        <w:top w:val="none" w:sz="0" w:space="0" w:color="auto"/>
        <w:left w:val="none" w:sz="0" w:space="0" w:color="auto"/>
        <w:bottom w:val="none" w:sz="0" w:space="0" w:color="auto"/>
        <w:right w:val="none" w:sz="0" w:space="0" w:color="auto"/>
      </w:divBdr>
    </w:div>
    <w:div w:id="1262450847">
      <w:bodyDiv w:val="1"/>
      <w:marLeft w:val="0"/>
      <w:marRight w:val="0"/>
      <w:marTop w:val="0"/>
      <w:marBottom w:val="0"/>
      <w:divBdr>
        <w:top w:val="none" w:sz="0" w:space="0" w:color="auto"/>
        <w:left w:val="none" w:sz="0" w:space="0" w:color="auto"/>
        <w:bottom w:val="none" w:sz="0" w:space="0" w:color="auto"/>
        <w:right w:val="none" w:sz="0" w:space="0" w:color="auto"/>
      </w:divBdr>
    </w:div>
    <w:div w:id="1416324023">
      <w:bodyDiv w:val="1"/>
      <w:marLeft w:val="0"/>
      <w:marRight w:val="0"/>
      <w:marTop w:val="0"/>
      <w:marBottom w:val="0"/>
      <w:divBdr>
        <w:top w:val="none" w:sz="0" w:space="0" w:color="auto"/>
        <w:left w:val="none" w:sz="0" w:space="0" w:color="auto"/>
        <w:bottom w:val="none" w:sz="0" w:space="0" w:color="auto"/>
        <w:right w:val="none" w:sz="0" w:space="0" w:color="auto"/>
      </w:divBdr>
    </w:div>
    <w:div w:id="1449272080">
      <w:bodyDiv w:val="1"/>
      <w:marLeft w:val="0"/>
      <w:marRight w:val="0"/>
      <w:marTop w:val="0"/>
      <w:marBottom w:val="0"/>
      <w:divBdr>
        <w:top w:val="none" w:sz="0" w:space="0" w:color="auto"/>
        <w:left w:val="none" w:sz="0" w:space="0" w:color="auto"/>
        <w:bottom w:val="none" w:sz="0" w:space="0" w:color="auto"/>
        <w:right w:val="none" w:sz="0" w:space="0" w:color="auto"/>
      </w:divBdr>
    </w:div>
    <w:div w:id="1481313946">
      <w:bodyDiv w:val="1"/>
      <w:marLeft w:val="0"/>
      <w:marRight w:val="0"/>
      <w:marTop w:val="0"/>
      <w:marBottom w:val="0"/>
      <w:divBdr>
        <w:top w:val="none" w:sz="0" w:space="0" w:color="auto"/>
        <w:left w:val="none" w:sz="0" w:space="0" w:color="auto"/>
        <w:bottom w:val="none" w:sz="0" w:space="0" w:color="auto"/>
        <w:right w:val="none" w:sz="0" w:space="0" w:color="auto"/>
      </w:divBdr>
    </w:div>
    <w:div w:id="1518081620">
      <w:bodyDiv w:val="1"/>
      <w:marLeft w:val="0"/>
      <w:marRight w:val="0"/>
      <w:marTop w:val="0"/>
      <w:marBottom w:val="0"/>
      <w:divBdr>
        <w:top w:val="none" w:sz="0" w:space="0" w:color="auto"/>
        <w:left w:val="none" w:sz="0" w:space="0" w:color="auto"/>
        <w:bottom w:val="none" w:sz="0" w:space="0" w:color="auto"/>
        <w:right w:val="none" w:sz="0" w:space="0" w:color="auto"/>
      </w:divBdr>
    </w:div>
    <w:div w:id="1603100281">
      <w:bodyDiv w:val="1"/>
      <w:marLeft w:val="0"/>
      <w:marRight w:val="0"/>
      <w:marTop w:val="0"/>
      <w:marBottom w:val="0"/>
      <w:divBdr>
        <w:top w:val="none" w:sz="0" w:space="0" w:color="auto"/>
        <w:left w:val="none" w:sz="0" w:space="0" w:color="auto"/>
        <w:bottom w:val="none" w:sz="0" w:space="0" w:color="auto"/>
        <w:right w:val="none" w:sz="0" w:space="0" w:color="auto"/>
      </w:divBdr>
    </w:div>
    <w:div w:id="1863980739">
      <w:bodyDiv w:val="1"/>
      <w:marLeft w:val="0"/>
      <w:marRight w:val="0"/>
      <w:marTop w:val="0"/>
      <w:marBottom w:val="0"/>
      <w:divBdr>
        <w:top w:val="none" w:sz="0" w:space="0" w:color="auto"/>
        <w:left w:val="none" w:sz="0" w:space="0" w:color="auto"/>
        <w:bottom w:val="none" w:sz="0" w:space="0" w:color="auto"/>
        <w:right w:val="none" w:sz="0" w:space="0" w:color="auto"/>
      </w:divBdr>
    </w:div>
    <w:div w:id="1893539921">
      <w:bodyDiv w:val="1"/>
      <w:marLeft w:val="0"/>
      <w:marRight w:val="0"/>
      <w:marTop w:val="0"/>
      <w:marBottom w:val="0"/>
      <w:divBdr>
        <w:top w:val="none" w:sz="0" w:space="0" w:color="auto"/>
        <w:left w:val="none" w:sz="0" w:space="0" w:color="auto"/>
        <w:bottom w:val="none" w:sz="0" w:space="0" w:color="auto"/>
        <w:right w:val="none" w:sz="0" w:space="0" w:color="auto"/>
      </w:divBdr>
    </w:div>
    <w:div w:id="2041315746">
      <w:bodyDiv w:val="1"/>
      <w:marLeft w:val="0"/>
      <w:marRight w:val="0"/>
      <w:marTop w:val="0"/>
      <w:marBottom w:val="0"/>
      <w:divBdr>
        <w:top w:val="none" w:sz="0" w:space="0" w:color="auto"/>
        <w:left w:val="none" w:sz="0" w:space="0" w:color="auto"/>
        <w:bottom w:val="none" w:sz="0" w:space="0" w:color="auto"/>
        <w:right w:val="none" w:sz="0" w:space="0" w:color="auto"/>
      </w:divBdr>
    </w:div>
    <w:div w:id="2113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65F12C6857C8DBCB0D61E7B375C70B3A33A08F7DE5B2CA6EF74653C39C6B195DA6450E4371E7F8482B9536ECCB16BB7A11D372F7DBnAOFB" TargetMode="External"/><Relationship Id="rId13" Type="http://schemas.openxmlformats.org/officeDocument/2006/relationships/hyperlink" Target="consultantplus://offline/ref=64F13CB774B173392FA38A2344DB50E868B02A004032634CE986ADA5E2B8C4B800C939EB1B7B796592F0AC24540914457F98CC99DEE7EApAX" TargetMode="External"/><Relationship Id="rId3" Type="http://schemas.openxmlformats.org/officeDocument/2006/relationships/settings" Target="settings.xml"/><Relationship Id="rId7" Type="http://schemas.openxmlformats.org/officeDocument/2006/relationships/hyperlink" Target="consultantplus://offline/ref=9365F12C6857C8DBCB0D61E7B375C70B3A33A08F7DE5B2CA6EF74653C39C6B195DA6450E4371E8F8482B9536ECCB16BB7A11D372F7DBnAOFB" TargetMode="External"/><Relationship Id="rId12" Type="http://schemas.openxmlformats.org/officeDocument/2006/relationships/hyperlink" Target="consultantplus://offline/ref=64F13CB774B173392FA38A2344DB50E868B02A004032634CE986ADA5E2B8C4B800C939EB1B7B7D6592F0AC24540914457F98CC99DEE7EApA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Documents%20and%20Settings\&#1058;&#1072;&#1090;&#1100;&#1103;&#1085;&#1072;\&#1052;&#1086;&#1080;%20&#1076;&#1086;&#1082;&#1091;&#1084;&#1077;&#1085;&#1090;&#1099;\&#1057;&#1077;&#1089;&#1089;&#1080;&#1080;%20&#1057;&#1053;&#1075;&#1086;\DOC\Nev-gerb.bmp" TargetMode="External"/><Relationship Id="rId11" Type="http://schemas.openxmlformats.org/officeDocument/2006/relationships/hyperlink" Target="consultantplus://offline/ref=8042E61E44F4073CAACFD4AC65D32DA1048150C2DF088B69D417B1129F06FB994812D7F7A9406539FF3B28021A10A93E96814C772010pEC3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41E68BCF2CFED9953A0EB09F9FC114DE978E8C2642E20EB196E2041C41A24C2A3203D65B4F718622fBg9C" TargetMode="External"/><Relationship Id="rId4" Type="http://schemas.openxmlformats.org/officeDocument/2006/relationships/webSettings" Target="webSettings.xml"/><Relationship Id="rId9" Type="http://schemas.openxmlformats.org/officeDocument/2006/relationships/hyperlink" Target="consultantplus://offline/ref=9365F12C6857C8DBCB0D61E7B375C70B3A33A08F7DE5B2CA6EF74653C39C6B195DA6450E4479EBF8482B9536ECCB16BB7A11D372F7DBnAO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CF580-00B4-4F3E-9371-EA4D20E7A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3782</Words>
  <Characters>21560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Татьяна</dc:creator>
  <cp:keywords/>
  <dc:description/>
  <cp:lastModifiedBy>Татьяна Татьяна</cp:lastModifiedBy>
  <cp:revision>497</cp:revision>
  <cp:lastPrinted>2021-12-21T22:47:00Z</cp:lastPrinted>
  <dcterms:created xsi:type="dcterms:W3CDTF">2021-09-24T05:17:00Z</dcterms:created>
  <dcterms:modified xsi:type="dcterms:W3CDTF">2021-12-22T00:21:00Z</dcterms:modified>
</cp:coreProperties>
</file>